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64040" w14:textId="132E6EF6" w:rsidR="00F73C25" w:rsidRPr="0066103A" w:rsidRDefault="000A6081" w:rsidP="00F73C25">
      <w:pPr>
        <w:spacing w:after="0" w:line="240" w:lineRule="auto"/>
        <w:jc w:val="center"/>
        <w:rPr>
          <w:rFonts w:eastAsia="Times New Roman" w:cstheme="minorHAnsi"/>
          <w:b/>
          <w:color w:val="000080"/>
          <w:sz w:val="32"/>
          <w:szCs w:val="32"/>
          <w:lang w:val="en-AU"/>
        </w:rPr>
      </w:pPr>
      <w:bookmarkStart w:id="0" w:name="_Toc161497483"/>
      <w:r>
        <w:rPr>
          <w:rFonts w:eastAsia="Times New Roman" w:cstheme="minorHAnsi"/>
          <w:b/>
          <w:color w:val="000080"/>
          <w:sz w:val="32"/>
          <w:szCs w:val="32"/>
          <w:lang w:val="en-AU"/>
        </w:rPr>
        <w:t>ROLE PROFILE</w:t>
      </w:r>
    </w:p>
    <w:p w14:paraId="03EB9598" w14:textId="77777777" w:rsidR="00F73C25" w:rsidRPr="0066103A" w:rsidRDefault="00F73C25" w:rsidP="00F73C25">
      <w:pPr>
        <w:spacing w:after="0" w:line="240" w:lineRule="auto"/>
        <w:rPr>
          <w:rFonts w:eastAsia="Times New Roman" w:cstheme="minorHAnsi"/>
          <w:sz w:val="20"/>
          <w:szCs w:val="20"/>
          <w:lang w:val="en-AU"/>
        </w:rPr>
      </w:pPr>
    </w:p>
    <w:tbl>
      <w:tblPr>
        <w:tblStyle w:val="TableGrid"/>
        <w:tblW w:w="10080" w:type="dxa"/>
        <w:tblLayout w:type="fixed"/>
        <w:tblLook w:val="0000" w:firstRow="0" w:lastRow="0" w:firstColumn="0" w:lastColumn="0" w:noHBand="0" w:noVBand="0"/>
      </w:tblPr>
      <w:tblGrid>
        <w:gridCol w:w="2430"/>
        <w:gridCol w:w="7650"/>
      </w:tblGrid>
      <w:tr w:rsidR="00F73C25" w:rsidRPr="0066103A" w14:paraId="5BAFAEC8" w14:textId="77777777" w:rsidTr="00CF75CA">
        <w:trPr>
          <w:trHeight w:hRule="exact" w:val="403"/>
        </w:trPr>
        <w:tc>
          <w:tcPr>
            <w:tcW w:w="2430" w:type="dxa"/>
            <w:shd w:val="clear" w:color="auto" w:fill="BFBFBF" w:themeFill="background1" w:themeFillShade="BF"/>
          </w:tcPr>
          <w:bookmarkEnd w:id="0"/>
          <w:p w14:paraId="7FD6A07D" w14:textId="77777777" w:rsidR="00F73C25" w:rsidRPr="0066103A" w:rsidRDefault="00F73C25" w:rsidP="00CF75CA">
            <w:pPr>
              <w:rPr>
                <w:rFonts w:eastAsia="Times New Roman" w:cstheme="minorHAnsi"/>
                <w:b/>
                <w:sz w:val="20"/>
                <w:szCs w:val="20"/>
                <w:lang w:val="en-AU"/>
              </w:rPr>
            </w:pPr>
            <w:r w:rsidRPr="0066103A">
              <w:rPr>
                <w:rFonts w:eastAsia="Times New Roman" w:cstheme="minorHAnsi"/>
                <w:b/>
                <w:sz w:val="20"/>
                <w:szCs w:val="20"/>
                <w:lang w:val="en-AU"/>
              </w:rPr>
              <w:t xml:space="preserve">Job Title </w:t>
            </w:r>
          </w:p>
        </w:tc>
        <w:tc>
          <w:tcPr>
            <w:tcW w:w="7650" w:type="dxa"/>
          </w:tcPr>
          <w:p w14:paraId="67D7C50F" w14:textId="22419252" w:rsidR="00F73C25" w:rsidRPr="0066103A" w:rsidRDefault="0066103A" w:rsidP="00CF75CA">
            <w:pPr>
              <w:rPr>
                <w:rFonts w:eastAsia="Times New Roman" w:cstheme="minorHAnsi"/>
                <w:sz w:val="20"/>
                <w:szCs w:val="20"/>
                <w:lang w:val="en-AU"/>
              </w:rPr>
            </w:pPr>
            <w:r w:rsidRPr="0066103A">
              <w:rPr>
                <w:rFonts w:eastAsia="Times New Roman" w:cstheme="minorHAnsi"/>
                <w:sz w:val="20"/>
                <w:szCs w:val="20"/>
                <w:lang w:val="en-AU"/>
              </w:rPr>
              <w:t>Head of Internal Audit</w:t>
            </w:r>
          </w:p>
        </w:tc>
      </w:tr>
      <w:tr w:rsidR="00F73C25" w:rsidRPr="0066103A" w14:paraId="76862B49" w14:textId="77777777" w:rsidTr="00CF75CA">
        <w:trPr>
          <w:trHeight w:hRule="exact" w:val="403"/>
        </w:trPr>
        <w:tc>
          <w:tcPr>
            <w:tcW w:w="2430" w:type="dxa"/>
            <w:shd w:val="clear" w:color="auto" w:fill="BFBFBF" w:themeFill="background1" w:themeFillShade="BF"/>
          </w:tcPr>
          <w:p w14:paraId="7DD122CB" w14:textId="77777777" w:rsidR="00F73C25" w:rsidRPr="0066103A" w:rsidRDefault="00F73C25" w:rsidP="00CF75CA">
            <w:pPr>
              <w:rPr>
                <w:rFonts w:eastAsia="Times New Roman" w:cstheme="minorHAnsi"/>
                <w:b/>
                <w:sz w:val="20"/>
                <w:szCs w:val="20"/>
                <w:lang w:val="en-AU"/>
              </w:rPr>
            </w:pPr>
            <w:r w:rsidRPr="0066103A">
              <w:rPr>
                <w:rFonts w:eastAsia="Times New Roman" w:cstheme="minorHAnsi"/>
                <w:b/>
                <w:sz w:val="20"/>
                <w:szCs w:val="20"/>
                <w:lang w:val="en-AU"/>
              </w:rPr>
              <w:t>Location</w:t>
            </w:r>
          </w:p>
        </w:tc>
        <w:tc>
          <w:tcPr>
            <w:tcW w:w="7650" w:type="dxa"/>
          </w:tcPr>
          <w:p w14:paraId="5B30B46A" w14:textId="3C10F42F" w:rsidR="00F73C25" w:rsidRPr="0066103A" w:rsidRDefault="0066103A" w:rsidP="00CF75CA">
            <w:pPr>
              <w:rPr>
                <w:rFonts w:eastAsia="Times New Roman" w:cstheme="minorHAnsi"/>
                <w:sz w:val="20"/>
                <w:szCs w:val="20"/>
                <w:lang w:val="en-AU"/>
              </w:rPr>
            </w:pPr>
            <w:r w:rsidRPr="0066103A">
              <w:rPr>
                <w:rFonts w:eastAsia="Times New Roman" w:cstheme="minorHAnsi"/>
                <w:sz w:val="20"/>
                <w:szCs w:val="20"/>
                <w:lang w:val="en-AU"/>
              </w:rPr>
              <w:t>Caerphilly</w:t>
            </w:r>
            <w:r w:rsidR="00404E1D">
              <w:rPr>
                <w:rFonts w:eastAsia="Times New Roman" w:cstheme="minorHAnsi"/>
                <w:sz w:val="20"/>
                <w:szCs w:val="20"/>
                <w:lang w:val="en-AU"/>
              </w:rPr>
              <w:t xml:space="preserve"> based but with travel required in UK (mainly), Spain and Ireland</w:t>
            </w:r>
          </w:p>
        </w:tc>
      </w:tr>
      <w:tr w:rsidR="00F73C25" w:rsidRPr="0066103A" w14:paraId="26F222F2" w14:textId="77777777" w:rsidTr="00CF75CA">
        <w:trPr>
          <w:trHeight w:hRule="exact" w:val="403"/>
        </w:trPr>
        <w:tc>
          <w:tcPr>
            <w:tcW w:w="2430" w:type="dxa"/>
            <w:shd w:val="clear" w:color="auto" w:fill="BFBFBF" w:themeFill="background1" w:themeFillShade="BF"/>
          </w:tcPr>
          <w:p w14:paraId="14377520" w14:textId="77777777" w:rsidR="00F73C25" w:rsidRPr="0066103A" w:rsidRDefault="00F73C25" w:rsidP="00CF75CA">
            <w:pPr>
              <w:rPr>
                <w:rFonts w:eastAsia="Times New Roman" w:cstheme="minorHAnsi"/>
                <w:b/>
                <w:sz w:val="20"/>
                <w:szCs w:val="20"/>
                <w:lang w:val="en-AU"/>
              </w:rPr>
            </w:pPr>
            <w:r w:rsidRPr="0066103A">
              <w:rPr>
                <w:rFonts w:eastAsia="Times New Roman" w:cstheme="minorHAnsi"/>
                <w:b/>
                <w:sz w:val="20"/>
                <w:szCs w:val="20"/>
                <w:lang w:val="en-AU"/>
              </w:rPr>
              <w:t>Reports to</w:t>
            </w:r>
          </w:p>
        </w:tc>
        <w:tc>
          <w:tcPr>
            <w:tcW w:w="7650" w:type="dxa"/>
          </w:tcPr>
          <w:p w14:paraId="2E950BCA" w14:textId="7174743B" w:rsidR="00F73C25" w:rsidRPr="0066103A" w:rsidRDefault="0066103A" w:rsidP="00CF75CA">
            <w:pPr>
              <w:rPr>
                <w:rFonts w:eastAsia="Times New Roman" w:cstheme="minorHAnsi"/>
                <w:sz w:val="20"/>
                <w:szCs w:val="20"/>
                <w:lang w:val="en-AU"/>
              </w:rPr>
            </w:pPr>
            <w:r w:rsidRPr="0066103A">
              <w:rPr>
                <w:rFonts w:eastAsia="Times New Roman" w:cstheme="minorHAnsi"/>
                <w:sz w:val="20"/>
                <w:szCs w:val="20"/>
                <w:lang w:val="en-AU"/>
              </w:rPr>
              <w:t>CFO</w:t>
            </w:r>
            <w:r w:rsidR="000A6081">
              <w:rPr>
                <w:rFonts w:eastAsia="Times New Roman" w:cstheme="minorHAnsi"/>
                <w:sz w:val="20"/>
                <w:szCs w:val="20"/>
                <w:lang w:val="en-AU"/>
              </w:rPr>
              <w:t xml:space="preserve"> </w:t>
            </w:r>
            <w:r w:rsidR="00404E1D">
              <w:rPr>
                <w:rFonts w:eastAsia="Times New Roman" w:cstheme="minorHAnsi"/>
                <w:sz w:val="20"/>
                <w:szCs w:val="20"/>
                <w:lang w:val="en-AU"/>
              </w:rPr>
              <w:t xml:space="preserve">of phs Group </w:t>
            </w:r>
            <w:r w:rsidR="000A6081">
              <w:rPr>
                <w:rFonts w:eastAsia="Times New Roman" w:cstheme="minorHAnsi"/>
                <w:sz w:val="20"/>
                <w:szCs w:val="20"/>
                <w:lang w:val="en-AU"/>
              </w:rPr>
              <w:t>and Bidvest Group Audit Committee</w:t>
            </w:r>
          </w:p>
        </w:tc>
      </w:tr>
      <w:tr w:rsidR="00F73C25" w:rsidRPr="0066103A" w14:paraId="0A04FF70" w14:textId="77777777" w:rsidTr="00CF75CA">
        <w:trPr>
          <w:trHeight w:hRule="exact" w:val="403"/>
        </w:trPr>
        <w:tc>
          <w:tcPr>
            <w:tcW w:w="2430" w:type="dxa"/>
            <w:shd w:val="clear" w:color="auto" w:fill="BFBFBF" w:themeFill="background1" w:themeFillShade="BF"/>
          </w:tcPr>
          <w:p w14:paraId="335CEA8E" w14:textId="743C1B7E" w:rsidR="00F73C25" w:rsidRPr="0066103A" w:rsidRDefault="000A6081" w:rsidP="00CF75CA">
            <w:pPr>
              <w:rPr>
                <w:rFonts w:eastAsia="Times New Roman" w:cstheme="minorHAnsi"/>
                <w:b/>
                <w:sz w:val="20"/>
                <w:szCs w:val="20"/>
                <w:lang w:val="en-AU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en-AU"/>
              </w:rPr>
              <w:t>Direct Reports</w:t>
            </w:r>
          </w:p>
        </w:tc>
        <w:tc>
          <w:tcPr>
            <w:tcW w:w="7650" w:type="dxa"/>
          </w:tcPr>
          <w:p w14:paraId="0E9F22C1" w14:textId="66AAA60C" w:rsidR="00F73C25" w:rsidRPr="0066103A" w:rsidRDefault="00F73C25" w:rsidP="00CF75CA">
            <w:pPr>
              <w:rPr>
                <w:rFonts w:eastAsia="Times New Roman" w:cstheme="minorHAnsi"/>
                <w:sz w:val="20"/>
                <w:szCs w:val="20"/>
                <w:lang w:val="en-AU"/>
              </w:rPr>
            </w:pPr>
          </w:p>
        </w:tc>
      </w:tr>
      <w:tr w:rsidR="00F73C25" w:rsidRPr="0066103A" w14:paraId="342BF451" w14:textId="77777777" w:rsidTr="00CF75CA">
        <w:trPr>
          <w:trHeight w:hRule="exact" w:val="566"/>
        </w:trPr>
        <w:tc>
          <w:tcPr>
            <w:tcW w:w="2430" w:type="dxa"/>
            <w:shd w:val="clear" w:color="auto" w:fill="BFBFBF" w:themeFill="background1" w:themeFillShade="BF"/>
          </w:tcPr>
          <w:p w14:paraId="7A3452A0" w14:textId="26593932" w:rsidR="00F73C25" w:rsidRPr="0066103A" w:rsidRDefault="00F73C25" w:rsidP="00CF75CA">
            <w:pPr>
              <w:rPr>
                <w:rFonts w:eastAsia="Times New Roman" w:cstheme="minorHAnsi"/>
                <w:b/>
                <w:sz w:val="20"/>
                <w:szCs w:val="20"/>
                <w:lang w:val="en-AU"/>
              </w:rPr>
            </w:pPr>
            <w:r w:rsidRPr="0066103A">
              <w:rPr>
                <w:rFonts w:eastAsia="Times New Roman" w:cstheme="minorHAnsi"/>
                <w:b/>
                <w:sz w:val="20"/>
                <w:szCs w:val="20"/>
                <w:lang w:val="en-AU"/>
              </w:rPr>
              <w:t xml:space="preserve">Other </w:t>
            </w:r>
            <w:r w:rsidR="000A6081">
              <w:rPr>
                <w:rFonts w:eastAsia="Times New Roman" w:cstheme="minorHAnsi"/>
                <w:b/>
                <w:sz w:val="20"/>
                <w:szCs w:val="20"/>
                <w:lang w:val="en-AU"/>
              </w:rPr>
              <w:t>key relationships</w:t>
            </w:r>
          </w:p>
        </w:tc>
        <w:tc>
          <w:tcPr>
            <w:tcW w:w="7650" w:type="dxa"/>
          </w:tcPr>
          <w:p w14:paraId="4452B664" w14:textId="0C92A784" w:rsidR="00F73C25" w:rsidRPr="0066103A" w:rsidRDefault="000A6081" w:rsidP="00CF75CA">
            <w:pPr>
              <w:rPr>
                <w:rFonts w:eastAsia="Times New Roman" w:cstheme="minorHAnsi"/>
                <w:b/>
                <w:sz w:val="20"/>
                <w:szCs w:val="20"/>
                <w:lang w:val="en-AU"/>
              </w:rPr>
            </w:pPr>
            <w:r w:rsidRPr="000A6081">
              <w:rPr>
                <w:rFonts w:eastAsia="Times New Roman" w:cstheme="minorHAnsi"/>
                <w:b/>
                <w:sz w:val="20"/>
                <w:szCs w:val="20"/>
                <w:lang w:val="en-AU"/>
              </w:rPr>
              <w:t>Bidvest Group,</w:t>
            </w:r>
            <w:r w:rsidR="005B2A12">
              <w:rPr>
                <w:rFonts w:eastAsia="Times New Roman" w:cstheme="minorHAnsi"/>
                <w:b/>
                <w:sz w:val="20"/>
                <w:szCs w:val="20"/>
                <w:lang w:val="en-AU"/>
              </w:rPr>
              <w:t xml:space="preserve"> PHS CEO,</w:t>
            </w:r>
            <w:r w:rsidRPr="000A6081">
              <w:rPr>
                <w:rFonts w:eastAsia="Times New Roman" w:cstheme="minorHAnsi"/>
                <w:b/>
                <w:sz w:val="20"/>
                <w:szCs w:val="20"/>
                <w:lang w:val="en-AU"/>
              </w:rPr>
              <w:t xml:space="preserve"> Group HR, Group IT, CCO, </w:t>
            </w:r>
            <w:r w:rsidR="005B2A12">
              <w:rPr>
                <w:rFonts w:eastAsia="Times New Roman" w:cstheme="minorHAnsi"/>
                <w:b/>
                <w:sz w:val="20"/>
                <w:szCs w:val="20"/>
                <w:lang w:val="en-AU"/>
              </w:rPr>
              <w:t>General Counsel</w:t>
            </w:r>
            <w:r w:rsidRPr="000A6081">
              <w:rPr>
                <w:rFonts w:eastAsia="Times New Roman" w:cstheme="minorHAnsi"/>
                <w:b/>
                <w:sz w:val="20"/>
                <w:szCs w:val="20"/>
                <w:lang w:val="en-AU"/>
              </w:rPr>
              <w:t>, External Legal Counsel, Internal Risk and Audit Committees.</w:t>
            </w:r>
          </w:p>
        </w:tc>
      </w:tr>
      <w:tr w:rsidR="00F73C25" w:rsidRPr="0066103A" w14:paraId="1E2BF28E" w14:textId="77777777" w:rsidTr="00CF75CA">
        <w:trPr>
          <w:trHeight w:val="389"/>
        </w:trPr>
        <w:tc>
          <w:tcPr>
            <w:tcW w:w="10080" w:type="dxa"/>
            <w:gridSpan w:val="2"/>
            <w:shd w:val="clear" w:color="auto" w:fill="BFBFBF" w:themeFill="background1" w:themeFillShade="BF"/>
          </w:tcPr>
          <w:p w14:paraId="27D12959" w14:textId="0294E456" w:rsidR="00F73C25" w:rsidRPr="0066103A" w:rsidRDefault="00F73C25" w:rsidP="00CF75CA">
            <w:pPr>
              <w:tabs>
                <w:tab w:val="left" w:pos="7185"/>
              </w:tabs>
              <w:outlineLvl w:val="1"/>
              <w:rPr>
                <w:rFonts w:eastAsia="Times New Roman" w:cstheme="minorHAnsi"/>
                <w:b/>
                <w:caps/>
                <w:color w:val="000000"/>
                <w:sz w:val="20"/>
                <w:szCs w:val="20"/>
                <w:lang w:val="en-US"/>
              </w:rPr>
            </w:pPr>
            <w:r w:rsidRPr="0066103A">
              <w:rPr>
                <w:rFonts w:eastAsia="Times New Roman" w:cstheme="minorHAnsi"/>
                <w:b/>
                <w:caps/>
                <w:color w:val="000000"/>
                <w:sz w:val="20"/>
                <w:szCs w:val="20"/>
                <w:lang w:val="en-US"/>
              </w:rPr>
              <w:t>General Description OF ROLE</w:t>
            </w:r>
            <w:r w:rsidR="005B2A12">
              <w:rPr>
                <w:rFonts w:eastAsia="Times New Roman" w:cstheme="minorHAnsi"/>
                <w:b/>
                <w:caps/>
                <w:color w:val="000000"/>
                <w:sz w:val="20"/>
                <w:szCs w:val="20"/>
                <w:lang w:val="en-US"/>
              </w:rPr>
              <w:t xml:space="preserve"> AND REQUIREMENTS</w:t>
            </w:r>
          </w:p>
        </w:tc>
      </w:tr>
      <w:tr w:rsidR="00F73C25" w:rsidRPr="0066103A" w14:paraId="6D1F47C7" w14:textId="77777777" w:rsidTr="00CF75CA">
        <w:trPr>
          <w:trHeight w:val="994"/>
        </w:trPr>
        <w:tc>
          <w:tcPr>
            <w:tcW w:w="10080" w:type="dxa"/>
            <w:gridSpan w:val="2"/>
          </w:tcPr>
          <w:p w14:paraId="4E6BCC98" w14:textId="1B9BEE60" w:rsidR="005B2A12" w:rsidRPr="005B2A12" w:rsidRDefault="005B2A12" w:rsidP="005B2A12">
            <w:pPr>
              <w:pStyle w:val="BodyTex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B2A12">
              <w:rPr>
                <w:rFonts w:asciiTheme="minorHAnsi" w:hAnsiTheme="minorHAnsi" w:cstheme="minorHAnsi"/>
                <w:sz w:val="20"/>
                <w:szCs w:val="20"/>
              </w:rPr>
              <w:t>The Head of Internal Audit serves as the chief assurance officer for the organisation, providing independent and objective evaluations of the company’s governance, risk management, internal control</w:t>
            </w:r>
            <w:r w:rsidR="006964FC">
              <w:rPr>
                <w:rFonts w:asciiTheme="minorHAnsi" w:hAnsiTheme="minorHAnsi" w:cstheme="minorHAnsi"/>
                <w:sz w:val="20"/>
                <w:szCs w:val="20"/>
              </w:rPr>
              <w:t>s within business financial and operational</w:t>
            </w:r>
            <w:r w:rsidR="006964FC" w:rsidRPr="005B2A12">
              <w:rPr>
                <w:rFonts w:asciiTheme="minorHAnsi" w:hAnsiTheme="minorHAnsi" w:cstheme="minorHAnsi"/>
                <w:sz w:val="20"/>
                <w:szCs w:val="20"/>
              </w:rPr>
              <w:t xml:space="preserve"> processes</w:t>
            </w:r>
            <w:r w:rsidRPr="005B2A12">
              <w:rPr>
                <w:rFonts w:asciiTheme="minorHAnsi" w:hAnsiTheme="minorHAnsi" w:cstheme="minorHAnsi"/>
                <w:sz w:val="20"/>
                <w:szCs w:val="20"/>
              </w:rPr>
              <w:t>. Reporting directly to the CFO</w:t>
            </w:r>
            <w:r w:rsidR="00404E1D">
              <w:rPr>
                <w:rFonts w:asciiTheme="minorHAnsi" w:hAnsiTheme="minorHAnsi" w:cstheme="minorHAnsi"/>
                <w:sz w:val="20"/>
                <w:szCs w:val="20"/>
              </w:rPr>
              <w:t xml:space="preserve"> of phs Group</w:t>
            </w:r>
            <w:r w:rsidRPr="005B2A12">
              <w:rPr>
                <w:rFonts w:asciiTheme="minorHAnsi" w:hAnsiTheme="minorHAnsi" w:cstheme="minorHAnsi"/>
                <w:sz w:val="20"/>
                <w:szCs w:val="20"/>
              </w:rPr>
              <w:t xml:space="preserve">, this role </w:t>
            </w:r>
            <w:r w:rsidR="006964FC">
              <w:rPr>
                <w:rFonts w:asciiTheme="minorHAnsi" w:hAnsiTheme="minorHAnsi" w:cstheme="minorHAnsi"/>
                <w:sz w:val="20"/>
                <w:szCs w:val="20"/>
              </w:rPr>
              <w:t>provides assurance</w:t>
            </w:r>
            <w:r w:rsidR="006964FC" w:rsidRPr="005B2A1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B2A12">
              <w:rPr>
                <w:rFonts w:asciiTheme="minorHAnsi" w:hAnsiTheme="minorHAnsi" w:cstheme="minorHAnsi"/>
                <w:sz w:val="20"/>
                <w:szCs w:val="20"/>
              </w:rPr>
              <w:t xml:space="preserve">that </w:t>
            </w:r>
            <w:r w:rsidR="006964FC">
              <w:rPr>
                <w:rFonts w:asciiTheme="minorHAnsi" w:hAnsiTheme="minorHAnsi" w:cstheme="minorHAnsi"/>
                <w:sz w:val="20"/>
                <w:szCs w:val="20"/>
              </w:rPr>
              <w:t xml:space="preserve">design and operational effectiveness of </w:t>
            </w:r>
            <w:r w:rsidRPr="005B2A12">
              <w:rPr>
                <w:rFonts w:asciiTheme="minorHAnsi" w:hAnsiTheme="minorHAnsi" w:cstheme="minorHAnsi"/>
                <w:sz w:val="20"/>
                <w:szCs w:val="20"/>
              </w:rPr>
              <w:t>financial, operational, and compliance controls are robust, effective, and aligned with best practice standards.</w:t>
            </w:r>
          </w:p>
          <w:p w14:paraId="3987F551" w14:textId="294ACFD7" w:rsidR="005B2A12" w:rsidRPr="005B2A12" w:rsidRDefault="005B2A12" w:rsidP="005B2A12">
            <w:pPr>
              <w:pStyle w:val="BodyTex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B2A12">
              <w:rPr>
                <w:rFonts w:asciiTheme="minorHAnsi" w:hAnsiTheme="minorHAnsi" w:cstheme="minorHAnsi"/>
                <w:sz w:val="20"/>
                <w:szCs w:val="20"/>
              </w:rPr>
              <w:t xml:space="preserve">In addition, the role holds accountability to </w:t>
            </w:r>
            <w:r w:rsidR="00404E1D">
              <w:rPr>
                <w:rFonts w:asciiTheme="minorHAnsi" w:hAnsiTheme="minorHAnsi" w:cstheme="minorHAnsi"/>
                <w:sz w:val="20"/>
                <w:szCs w:val="20"/>
              </w:rPr>
              <w:t xml:space="preserve">the Bidvest Services International executive team as well as </w:t>
            </w:r>
            <w:r w:rsidRPr="005B2A12">
              <w:rPr>
                <w:rFonts w:asciiTheme="minorHAnsi" w:hAnsiTheme="minorHAnsi" w:cstheme="minorHAnsi"/>
                <w:sz w:val="20"/>
                <w:szCs w:val="20"/>
              </w:rPr>
              <w:t>the Bidvest Group Audit Committee, delivering transparent reporting and insights that support group-level governance and strategic oversight. The Head of Internal Audit is pivotal in safeguarding organisational integrity, promoting ethical conduct, and driving continuous improvement across all business units.</w:t>
            </w:r>
          </w:p>
          <w:p w14:paraId="3F53C6FF" w14:textId="77777777" w:rsidR="005B2A12" w:rsidRDefault="005B2A12" w:rsidP="005B2A12">
            <w:pPr>
              <w:pStyle w:val="BodyTex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F1A0B37" w14:textId="390CE902" w:rsidR="005B2A12" w:rsidRPr="005B2A12" w:rsidRDefault="005B2A12" w:rsidP="005B2A12">
            <w:pPr>
              <w:pStyle w:val="BodyTex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B2A12">
              <w:rPr>
                <w:rFonts w:asciiTheme="minorHAnsi" w:hAnsiTheme="minorHAnsi" w:cstheme="minorHAnsi"/>
                <w:sz w:val="20"/>
                <w:szCs w:val="20"/>
              </w:rPr>
              <w:t>Key responsibilities include:</w:t>
            </w:r>
          </w:p>
          <w:p w14:paraId="252D4AAC" w14:textId="5E661434" w:rsidR="005B2A12" w:rsidRPr="005B2A12" w:rsidRDefault="005B2A12" w:rsidP="005B2A12">
            <w:pPr>
              <w:pStyle w:val="BodyText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B2A12">
              <w:rPr>
                <w:rFonts w:asciiTheme="minorHAnsi" w:hAnsiTheme="minorHAnsi" w:cstheme="minorHAnsi"/>
                <w:sz w:val="20"/>
                <w:szCs w:val="20"/>
              </w:rPr>
              <w:t>Leading the internal audit function</w:t>
            </w:r>
            <w:r w:rsidR="006964FC">
              <w:rPr>
                <w:rFonts w:asciiTheme="minorHAnsi" w:hAnsiTheme="minorHAnsi" w:cstheme="minorHAnsi"/>
                <w:sz w:val="20"/>
                <w:szCs w:val="20"/>
              </w:rPr>
              <w:t xml:space="preserve">, developing and delivering on the </w:t>
            </w:r>
            <w:r w:rsidRPr="005B2A12">
              <w:rPr>
                <w:rFonts w:asciiTheme="minorHAnsi" w:hAnsiTheme="minorHAnsi" w:cstheme="minorHAnsi"/>
                <w:sz w:val="20"/>
                <w:szCs w:val="20"/>
              </w:rPr>
              <w:t>annual audit plan.</w:t>
            </w:r>
          </w:p>
          <w:p w14:paraId="55966E8B" w14:textId="77777777" w:rsidR="005B2A12" w:rsidRPr="005B2A12" w:rsidRDefault="005B2A12" w:rsidP="005B2A12">
            <w:pPr>
              <w:pStyle w:val="BodyText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B2A12">
              <w:rPr>
                <w:rFonts w:asciiTheme="minorHAnsi" w:hAnsiTheme="minorHAnsi" w:cstheme="minorHAnsi"/>
                <w:sz w:val="20"/>
                <w:szCs w:val="20"/>
              </w:rPr>
              <w:t>Assessing and enhancing risk management frameworks.</w:t>
            </w:r>
          </w:p>
          <w:p w14:paraId="071B9DF8" w14:textId="77777777" w:rsidR="005B2A12" w:rsidRPr="005B2A12" w:rsidRDefault="005B2A12" w:rsidP="005B2A12">
            <w:pPr>
              <w:pStyle w:val="BodyText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B2A12">
              <w:rPr>
                <w:rFonts w:asciiTheme="minorHAnsi" w:hAnsiTheme="minorHAnsi" w:cstheme="minorHAnsi"/>
                <w:sz w:val="20"/>
                <w:szCs w:val="20"/>
              </w:rPr>
              <w:t>Providing assurance on compliance with regulatory and corporate governance requirements.</w:t>
            </w:r>
          </w:p>
          <w:p w14:paraId="4987F3E8" w14:textId="77777777" w:rsidR="005B2A12" w:rsidRPr="005B2A12" w:rsidRDefault="005B2A12" w:rsidP="005B2A12">
            <w:pPr>
              <w:pStyle w:val="BodyText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B2A12">
              <w:rPr>
                <w:rFonts w:asciiTheme="minorHAnsi" w:hAnsiTheme="minorHAnsi" w:cstheme="minorHAnsi"/>
                <w:sz w:val="20"/>
                <w:szCs w:val="20"/>
              </w:rPr>
              <w:t>Reporting findings and recommendations to senior leadership and the Bidvest Audit Committee.</w:t>
            </w:r>
          </w:p>
          <w:p w14:paraId="7FA4E9B0" w14:textId="77777777" w:rsidR="005B2A12" w:rsidRPr="005B2A12" w:rsidRDefault="005B2A12" w:rsidP="005B2A12">
            <w:pPr>
              <w:pStyle w:val="BodyText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B2A12">
              <w:rPr>
                <w:rFonts w:asciiTheme="minorHAnsi" w:hAnsiTheme="minorHAnsi" w:cstheme="minorHAnsi"/>
                <w:sz w:val="20"/>
                <w:szCs w:val="20"/>
              </w:rPr>
              <w:t>Supporting strategic initiatives by identifying control gaps and advising on remediation.</w:t>
            </w:r>
          </w:p>
          <w:p w14:paraId="74A6000B" w14:textId="77777777" w:rsidR="005B2A12" w:rsidRPr="005B2A12" w:rsidRDefault="005B2A12" w:rsidP="005B2A12">
            <w:pPr>
              <w:pStyle w:val="BodyTex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31DFB82" w14:textId="77777777" w:rsidR="0066103A" w:rsidRDefault="005B2A12" w:rsidP="005B2A12">
            <w:pPr>
              <w:pStyle w:val="BodyTex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B2A12">
              <w:rPr>
                <w:rFonts w:asciiTheme="minorHAnsi" w:hAnsiTheme="minorHAnsi" w:cstheme="minorHAnsi"/>
                <w:sz w:val="20"/>
                <w:szCs w:val="20"/>
              </w:rPr>
              <w:t>This role is critical in maintaining stakeholder confidence, ensuring operational resilience, and upholding the highest standards of accountability across the organisation.</w:t>
            </w:r>
          </w:p>
          <w:p w14:paraId="36D38EEF" w14:textId="1F5C909F" w:rsidR="005B2A12" w:rsidRPr="0066103A" w:rsidRDefault="005B2A12" w:rsidP="005B2A12">
            <w:pPr>
              <w:pStyle w:val="BodyTex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73C25" w:rsidRPr="0066103A" w14:paraId="1313200B" w14:textId="77777777" w:rsidTr="00CF75CA">
        <w:trPr>
          <w:trHeight w:val="241"/>
        </w:trPr>
        <w:tc>
          <w:tcPr>
            <w:tcW w:w="10080" w:type="dxa"/>
            <w:gridSpan w:val="2"/>
            <w:shd w:val="clear" w:color="auto" w:fill="BFBFBF" w:themeFill="background1" w:themeFillShade="BF"/>
          </w:tcPr>
          <w:p w14:paraId="64119F24" w14:textId="77777777" w:rsidR="00F73C25" w:rsidRPr="0066103A" w:rsidRDefault="00F73C25" w:rsidP="00CF75CA">
            <w:pPr>
              <w:tabs>
                <w:tab w:val="left" w:pos="7185"/>
              </w:tabs>
              <w:outlineLvl w:val="1"/>
              <w:rPr>
                <w:rFonts w:eastAsia="Times New Roman" w:cstheme="minorHAnsi"/>
                <w:b/>
                <w:caps/>
                <w:color w:val="000000"/>
                <w:sz w:val="20"/>
                <w:szCs w:val="20"/>
                <w:lang w:val="en-US"/>
              </w:rPr>
            </w:pPr>
            <w:r w:rsidRPr="0066103A">
              <w:rPr>
                <w:rFonts w:eastAsia="Times New Roman" w:cstheme="minorHAnsi"/>
                <w:b/>
                <w:caps/>
                <w:color w:val="000000"/>
                <w:sz w:val="20"/>
                <w:szCs w:val="20"/>
                <w:lang w:val="en-US"/>
              </w:rPr>
              <w:t>KEY RESPONSIBILITIES</w:t>
            </w:r>
          </w:p>
        </w:tc>
      </w:tr>
      <w:tr w:rsidR="00F73C25" w:rsidRPr="0066103A" w14:paraId="1D76BB3E" w14:textId="77777777" w:rsidTr="0066103A">
        <w:trPr>
          <w:trHeight w:val="4810"/>
        </w:trPr>
        <w:tc>
          <w:tcPr>
            <w:tcW w:w="10080" w:type="dxa"/>
            <w:gridSpan w:val="2"/>
          </w:tcPr>
          <w:p w14:paraId="50FFB34D" w14:textId="77777777" w:rsidR="0066103A" w:rsidRPr="0066103A" w:rsidRDefault="0066103A" w:rsidP="0066103A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66103A">
              <w:rPr>
                <w:rFonts w:eastAsia="Times New Roman" w:cstheme="minorHAnsi"/>
                <w:b/>
                <w:bCs/>
                <w:sz w:val="20"/>
                <w:szCs w:val="20"/>
              </w:rPr>
              <w:t>1. Group Audit Leadership &amp; Strategy</w:t>
            </w:r>
          </w:p>
          <w:p w14:paraId="7C8E6783" w14:textId="77777777" w:rsidR="0066103A" w:rsidRPr="0066103A" w:rsidRDefault="0066103A" w:rsidP="0066103A">
            <w:pPr>
              <w:rPr>
                <w:rFonts w:eastAsia="Times New Roman" w:cstheme="minorHAnsi"/>
                <w:sz w:val="20"/>
                <w:szCs w:val="20"/>
              </w:rPr>
            </w:pPr>
            <w:r w:rsidRPr="0066103A">
              <w:rPr>
                <w:rFonts w:eastAsia="Times New Roman" w:cstheme="minorHAnsi"/>
                <w:sz w:val="20"/>
                <w:szCs w:val="20"/>
              </w:rPr>
              <w:t>- Develop and deliver a risk-based internal audit plan aligned to phs Group objectives.</w:t>
            </w:r>
          </w:p>
          <w:p w14:paraId="7E2604EC" w14:textId="77777777" w:rsidR="0066103A" w:rsidRPr="0066103A" w:rsidRDefault="0066103A" w:rsidP="0066103A">
            <w:pPr>
              <w:rPr>
                <w:rFonts w:eastAsia="Times New Roman" w:cstheme="minorHAnsi"/>
                <w:sz w:val="20"/>
                <w:szCs w:val="20"/>
              </w:rPr>
            </w:pPr>
            <w:r w:rsidRPr="0066103A">
              <w:rPr>
                <w:rFonts w:eastAsia="Times New Roman" w:cstheme="minorHAnsi"/>
                <w:sz w:val="20"/>
                <w:szCs w:val="20"/>
              </w:rPr>
              <w:t>- Provide independent assurance on governance, risk management and controls.</w:t>
            </w:r>
          </w:p>
          <w:p w14:paraId="1397C726" w14:textId="5CF2DDAD" w:rsidR="0066103A" w:rsidRPr="0066103A" w:rsidRDefault="0066103A" w:rsidP="0066103A">
            <w:pPr>
              <w:rPr>
                <w:rFonts w:eastAsia="Times New Roman" w:cstheme="minorHAnsi"/>
                <w:sz w:val="20"/>
                <w:szCs w:val="20"/>
              </w:rPr>
            </w:pPr>
            <w:r w:rsidRPr="0066103A">
              <w:rPr>
                <w:rFonts w:eastAsia="Times New Roman" w:cstheme="minorHAnsi"/>
                <w:sz w:val="20"/>
                <w:szCs w:val="20"/>
              </w:rPr>
              <w:t xml:space="preserve">- Deliver clear and commercially practical audit findings to the </w:t>
            </w:r>
            <w:r w:rsidR="00404E1D">
              <w:rPr>
                <w:rFonts w:eastAsia="Times New Roman" w:cstheme="minorHAnsi"/>
                <w:sz w:val="20"/>
                <w:szCs w:val="20"/>
              </w:rPr>
              <w:t>phs Exec team</w:t>
            </w:r>
            <w:r w:rsidRPr="0066103A">
              <w:rPr>
                <w:rFonts w:eastAsia="Times New Roman" w:cstheme="minorHAnsi"/>
                <w:sz w:val="20"/>
                <w:szCs w:val="20"/>
              </w:rPr>
              <w:t xml:space="preserve"> and </w:t>
            </w:r>
            <w:r w:rsidR="00404E1D">
              <w:rPr>
                <w:rFonts w:eastAsia="Times New Roman" w:cstheme="minorHAnsi"/>
                <w:sz w:val="20"/>
                <w:szCs w:val="20"/>
              </w:rPr>
              <w:t>the Bidvest Audit Committee</w:t>
            </w:r>
            <w:r w:rsidRPr="0066103A">
              <w:rPr>
                <w:rFonts w:eastAsia="Times New Roman" w:cstheme="minorHAnsi"/>
                <w:sz w:val="20"/>
                <w:szCs w:val="20"/>
              </w:rPr>
              <w:t>.</w:t>
            </w:r>
          </w:p>
          <w:p w14:paraId="5EEBB353" w14:textId="134B6992" w:rsidR="005B2A12" w:rsidRPr="0066103A" w:rsidRDefault="0066103A" w:rsidP="0066103A">
            <w:pPr>
              <w:rPr>
                <w:rFonts w:eastAsia="Times New Roman" w:cstheme="minorHAnsi"/>
                <w:sz w:val="20"/>
                <w:szCs w:val="20"/>
              </w:rPr>
            </w:pPr>
            <w:r w:rsidRPr="0066103A">
              <w:rPr>
                <w:rFonts w:eastAsia="Times New Roman" w:cstheme="minorHAnsi"/>
                <w:sz w:val="20"/>
                <w:szCs w:val="20"/>
              </w:rPr>
              <w:t>- Ensure adherence to IIA UK Standards.</w:t>
            </w:r>
          </w:p>
          <w:p w14:paraId="305121FB" w14:textId="77777777" w:rsidR="0066103A" w:rsidRPr="0066103A" w:rsidRDefault="0066103A" w:rsidP="0066103A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66103A">
              <w:rPr>
                <w:rFonts w:eastAsia="Times New Roman" w:cstheme="minorHAnsi"/>
                <w:b/>
                <w:bCs/>
                <w:sz w:val="20"/>
                <w:szCs w:val="20"/>
              </w:rPr>
              <w:t>2. Audit Delivery Across Complex Operations</w:t>
            </w:r>
          </w:p>
          <w:p w14:paraId="33916EB4" w14:textId="77777777" w:rsidR="0066103A" w:rsidRPr="0066103A" w:rsidRDefault="0066103A" w:rsidP="0066103A">
            <w:pPr>
              <w:rPr>
                <w:rFonts w:eastAsia="Times New Roman" w:cstheme="minorHAnsi"/>
                <w:sz w:val="20"/>
                <w:szCs w:val="20"/>
              </w:rPr>
            </w:pPr>
            <w:r w:rsidRPr="0066103A">
              <w:rPr>
                <w:rFonts w:eastAsia="Times New Roman" w:cstheme="minorHAnsi"/>
                <w:sz w:val="20"/>
                <w:szCs w:val="20"/>
              </w:rPr>
              <w:t>- Oversee audits spanning operations, sales frameworks, payroll, HR, finance, procurement, IT, and H&amp;S.</w:t>
            </w:r>
          </w:p>
          <w:p w14:paraId="6D50C508" w14:textId="77777777" w:rsidR="0066103A" w:rsidRPr="0066103A" w:rsidRDefault="0066103A" w:rsidP="0066103A">
            <w:pPr>
              <w:rPr>
                <w:rFonts w:eastAsia="Times New Roman" w:cstheme="minorHAnsi"/>
                <w:sz w:val="20"/>
                <w:szCs w:val="20"/>
              </w:rPr>
            </w:pPr>
            <w:r w:rsidRPr="0066103A">
              <w:rPr>
                <w:rFonts w:eastAsia="Times New Roman" w:cstheme="minorHAnsi"/>
                <w:sz w:val="20"/>
                <w:szCs w:val="20"/>
              </w:rPr>
              <w:t>- Lead audits related to high-risk areas including fleet, stock, contract management, and revenue assurance.</w:t>
            </w:r>
          </w:p>
          <w:p w14:paraId="7970F178" w14:textId="16BB19CD" w:rsidR="0066103A" w:rsidRPr="0066103A" w:rsidRDefault="0066103A" w:rsidP="0066103A">
            <w:pPr>
              <w:rPr>
                <w:rFonts w:eastAsia="Times New Roman" w:cstheme="minorHAnsi"/>
                <w:sz w:val="20"/>
                <w:szCs w:val="20"/>
              </w:rPr>
            </w:pPr>
            <w:r w:rsidRPr="0066103A">
              <w:rPr>
                <w:rFonts w:eastAsia="Times New Roman" w:cstheme="minorHAnsi"/>
                <w:sz w:val="20"/>
                <w:szCs w:val="20"/>
              </w:rPr>
              <w:t>- Ensure high-quality, well-evidenced audits with practical recommendations.</w:t>
            </w:r>
          </w:p>
          <w:p w14:paraId="7CEC7623" w14:textId="77777777" w:rsidR="0066103A" w:rsidRPr="0066103A" w:rsidRDefault="0066103A" w:rsidP="0066103A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66103A">
              <w:rPr>
                <w:rFonts w:eastAsia="Times New Roman" w:cstheme="minorHAnsi"/>
                <w:b/>
                <w:bCs/>
                <w:sz w:val="20"/>
                <w:szCs w:val="20"/>
              </w:rPr>
              <w:t>3. Governance, Risk &amp; Compliance</w:t>
            </w:r>
          </w:p>
          <w:p w14:paraId="167D0C23" w14:textId="6C2F0BDD" w:rsidR="0066103A" w:rsidRPr="0066103A" w:rsidRDefault="0066103A" w:rsidP="0066103A">
            <w:pPr>
              <w:rPr>
                <w:rFonts w:eastAsia="Times New Roman" w:cstheme="minorHAnsi"/>
                <w:sz w:val="20"/>
                <w:szCs w:val="20"/>
              </w:rPr>
            </w:pPr>
            <w:r w:rsidRPr="0066103A">
              <w:rPr>
                <w:rFonts w:eastAsia="Times New Roman" w:cstheme="minorHAnsi"/>
                <w:sz w:val="20"/>
                <w:szCs w:val="20"/>
              </w:rPr>
              <w:lastRenderedPageBreak/>
              <w:t>- Advise the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phs</w:t>
            </w:r>
            <w:r w:rsidRPr="0066103A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</w:rPr>
              <w:t>Exec</w:t>
            </w:r>
            <w:r w:rsidRPr="0066103A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team </w:t>
            </w:r>
            <w:r w:rsidRPr="0066103A">
              <w:rPr>
                <w:rFonts w:eastAsia="Times New Roman" w:cstheme="minorHAnsi"/>
                <w:sz w:val="20"/>
                <w:szCs w:val="20"/>
              </w:rPr>
              <w:t>and B</w:t>
            </w:r>
            <w:r>
              <w:rPr>
                <w:rFonts w:eastAsia="Times New Roman" w:cstheme="minorHAnsi"/>
                <w:sz w:val="20"/>
                <w:szCs w:val="20"/>
              </w:rPr>
              <w:t>idvest</w:t>
            </w:r>
            <w:r w:rsidRPr="0066103A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="00404E1D">
              <w:rPr>
                <w:rFonts w:eastAsia="Times New Roman" w:cstheme="minorHAnsi"/>
                <w:sz w:val="20"/>
                <w:szCs w:val="20"/>
              </w:rPr>
              <w:t>Bidvest</w:t>
            </w:r>
            <w:proofErr w:type="spellEnd"/>
            <w:r w:rsidR="00404E1D">
              <w:rPr>
                <w:rFonts w:eastAsia="Times New Roman" w:cstheme="minorHAnsi"/>
                <w:sz w:val="20"/>
                <w:szCs w:val="20"/>
              </w:rPr>
              <w:t xml:space="preserve"> Audit Committee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66103A">
              <w:rPr>
                <w:rFonts w:eastAsia="Times New Roman" w:cstheme="minorHAnsi"/>
                <w:sz w:val="20"/>
                <w:szCs w:val="20"/>
              </w:rPr>
              <w:t>on risk exposure and control effectiveness.</w:t>
            </w:r>
          </w:p>
          <w:p w14:paraId="56475216" w14:textId="77777777" w:rsidR="0066103A" w:rsidRPr="0066103A" w:rsidRDefault="0066103A" w:rsidP="0066103A">
            <w:pPr>
              <w:rPr>
                <w:rFonts w:eastAsia="Times New Roman" w:cstheme="minorHAnsi"/>
                <w:sz w:val="20"/>
                <w:szCs w:val="20"/>
              </w:rPr>
            </w:pPr>
            <w:r w:rsidRPr="0066103A">
              <w:rPr>
                <w:rFonts w:eastAsia="Times New Roman" w:cstheme="minorHAnsi"/>
                <w:sz w:val="20"/>
                <w:szCs w:val="20"/>
              </w:rPr>
              <w:t>- Strengthen risk management frameworks and assurance mapping.</w:t>
            </w:r>
          </w:p>
          <w:p w14:paraId="6A67A0A9" w14:textId="0DFCADEE" w:rsidR="0066103A" w:rsidRPr="0066103A" w:rsidRDefault="0066103A" w:rsidP="0066103A">
            <w:pPr>
              <w:rPr>
                <w:rFonts w:eastAsia="Times New Roman" w:cstheme="minorHAnsi"/>
                <w:sz w:val="20"/>
                <w:szCs w:val="20"/>
              </w:rPr>
            </w:pPr>
            <w:r w:rsidRPr="0066103A">
              <w:rPr>
                <w:rFonts w:eastAsia="Times New Roman" w:cstheme="minorHAnsi"/>
                <w:sz w:val="20"/>
                <w:szCs w:val="20"/>
              </w:rPr>
              <w:t>- Coordinate with external auditors and regulators.</w:t>
            </w:r>
          </w:p>
          <w:p w14:paraId="248B551A" w14:textId="77777777" w:rsidR="0066103A" w:rsidRPr="0066103A" w:rsidRDefault="0066103A" w:rsidP="0066103A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66103A">
              <w:rPr>
                <w:rFonts w:eastAsia="Times New Roman" w:cstheme="minorHAnsi"/>
                <w:b/>
                <w:bCs/>
                <w:sz w:val="20"/>
                <w:szCs w:val="20"/>
              </w:rPr>
              <w:t>4. Leadership &amp; People Management</w:t>
            </w:r>
          </w:p>
          <w:p w14:paraId="104C9AE5" w14:textId="77777777" w:rsidR="0066103A" w:rsidRPr="0066103A" w:rsidRDefault="0066103A" w:rsidP="0066103A">
            <w:pPr>
              <w:rPr>
                <w:rFonts w:eastAsia="Times New Roman" w:cstheme="minorHAnsi"/>
                <w:sz w:val="20"/>
                <w:szCs w:val="20"/>
              </w:rPr>
            </w:pPr>
            <w:r w:rsidRPr="0066103A">
              <w:rPr>
                <w:rFonts w:eastAsia="Times New Roman" w:cstheme="minorHAnsi"/>
                <w:sz w:val="20"/>
                <w:szCs w:val="20"/>
              </w:rPr>
              <w:t>- Lead, coach and develop the internal audit team.</w:t>
            </w:r>
          </w:p>
          <w:p w14:paraId="65DEEB80" w14:textId="77777777" w:rsidR="0066103A" w:rsidRPr="0066103A" w:rsidRDefault="0066103A" w:rsidP="0066103A">
            <w:pPr>
              <w:rPr>
                <w:rFonts w:eastAsia="Times New Roman" w:cstheme="minorHAnsi"/>
                <w:sz w:val="20"/>
                <w:szCs w:val="20"/>
              </w:rPr>
            </w:pPr>
            <w:r w:rsidRPr="0066103A">
              <w:rPr>
                <w:rFonts w:eastAsia="Times New Roman" w:cstheme="minorHAnsi"/>
                <w:sz w:val="20"/>
                <w:szCs w:val="20"/>
              </w:rPr>
              <w:t>- Promote independence, integrity and professional curiosity.</w:t>
            </w:r>
          </w:p>
          <w:p w14:paraId="1F99D66E" w14:textId="31A92DCC" w:rsidR="0066103A" w:rsidRPr="0066103A" w:rsidRDefault="0066103A" w:rsidP="0066103A">
            <w:pPr>
              <w:rPr>
                <w:rFonts w:eastAsia="Times New Roman" w:cstheme="minorHAnsi"/>
                <w:sz w:val="20"/>
                <w:szCs w:val="20"/>
              </w:rPr>
            </w:pPr>
            <w:r w:rsidRPr="0066103A">
              <w:rPr>
                <w:rFonts w:eastAsia="Times New Roman" w:cstheme="minorHAnsi"/>
                <w:sz w:val="20"/>
                <w:szCs w:val="20"/>
              </w:rPr>
              <w:t>- Drive consistent methodology and quality standards.</w:t>
            </w:r>
          </w:p>
          <w:p w14:paraId="6BC3F6BA" w14:textId="77777777" w:rsidR="0066103A" w:rsidRPr="0066103A" w:rsidRDefault="0066103A" w:rsidP="0066103A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66103A">
              <w:rPr>
                <w:rFonts w:eastAsia="Times New Roman" w:cstheme="minorHAnsi"/>
                <w:b/>
                <w:bCs/>
                <w:sz w:val="20"/>
                <w:szCs w:val="20"/>
              </w:rPr>
              <w:t>5. Stakeholder Engagement &amp; Influence</w:t>
            </w:r>
          </w:p>
          <w:p w14:paraId="57DD2352" w14:textId="77777777" w:rsidR="0066103A" w:rsidRPr="0066103A" w:rsidRDefault="0066103A" w:rsidP="0066103A">
            <w:pPr>
              <w:rPr>
                <w:rFonts w:eastAsia="Times New Roman" w:cstheme="minorHAnsi"/>
                <w:sz w:val="20"/>
                <w:szCs w:val="20"/>
              </w:rPr>
            </w:pPr>
            <w:r w:rsidRPr="0066103A">
              <w:rPr>
                <w:rFonts w:eastAsia="Times New Roman" w:cstheme="minorHAnsi"/>
                <w:sz w:val="20"/>
                <w:szCs w:val="20"/>
              </w:rPr>
              <w:t>- Build relationships across operations, commercial, HR, finance and IT.</w:t>
            </w:r>
          </w:p>
          <w:p w14:paraId="59A0F467" w14:textId="63E70B34" w:rsidR="0066103A" w:rsidRPr="0066103A" w:rsidRDefault="0066103A" w:rsidP="0066103A">
            <w:pPr>
              <w:rPr>
                <w:rFonts w:eastAsia="Times New Roman" w:cstheme="minorHAnsi"/>
                <w:sz w:val="20"/>
                <w:szCs w:val="20"/>
              </w:rPr>
            </w:pPr>
            <w:r w:rsidRPr="0066103A">
              <w:rPr>
                <w:rFonts w:eastAsia="Times New Roman" w:cstheme="minorHAnsi"/>
                <w:sz w:val="20"/>
                <w:szCs w:val="20"/>
              </w:rPr>
              <w:t xml:space="preserve">- Present insights and recommendations to the </w:t>
            </w:r>
            <w:r w:rsidR="00404E1D">
              <w:rPr>
                <w:rFonts w:eastAsia="Times New Roman" w:cstheme="minorHAnsi"/>
                <w:sz w:val="20"/>
                <w:szCs w:val="20"/>
              </w:rPr>
              <w:t xml:space="preserve">phs </w:t>
            </w:r>
            <w:r>
              <w:rPr>
                <w:rFonts w:eastAsia="Times New Roman" w:cstheme="minorHAnsi"/>
                <w:sz w:val="20"/>
                <w:szCs w:val="20"/>
              </w:rPr>
              <w:t>Exec</w:t>
            </w:r>
            <w:r w:rsidRPr="0066103A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404E1D">
              <w:rPr>
                <w:rFonts w:eastAsia="Times New Roman" w:cstheme="minorHAnsi"/>
                <w:sz w:val="20"/>
                <w:szCs w:val="20"/>
              </w:rPr>
              <w:t xml:space="preserve">team </w:t>
            </w:r>
            <w:r w:rsidRPr="0066103A">
              <w:rPr>
                <w:rFonts w:eastAsia="Times New Roman" w:cstheme="minorHAnsi"/>
                <w:sz w:val="20"/>
                <w:szCs w:val="20"/>
              </w:rPr>
              <w:t xml:space="preserve">and 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Bidvest </w:t>
            </w:r>
            <w:r w:rsidRPr="0066103A">
              <w:rPr>
                <w:rFonts w:eastAsia="Times New Roman" w:cstheme="minorHAnsi"/>
                <w:sz w:val="20"/>
                <w:szCs w:val="20"/>
              </w:rPr>
              <w:t>A</w:t>
            </w:r>
            <w:r w:rsidR="00404E1D">
              <w:rPr>
                <w:rFonts w:eastAsia="Times New Roman" w:cstheme="minorHAnsi"/>
                <w:sz w:val="20"/>
                <w:szCs w:val="20"/>
              </w:rPr>
              <w:t xml:space="preserve">udit </w:t>
            </w:r>
            <w:r w:rsidRPr="0066103A">
              <w:rPr>
                <w:rFonts w:eastAsia="Times New Roman" w:cstheme="minorHAnsi"/>
                <w:sz w:val="20"/>
                <w:szCs w:val="20"/>
              </w:rPr>
              <w:t>C</w:t>
            </w:r>
            <w:r w:rsidR="00404E1D">
              <w:rPr>
                <w:rFonts w:eastAsia="Times New Roman" w:cstheme="minorHAnsi"/>
                <w:sz w:val="20"/>
                <w:szCs w:val="20"/>
              </w:rPr>
              <w:t>ommittee</w:t>
            </w:r>
            <w:r w:rsidRPr="0066103A">
              <w:rPr>
                <w:rFonts w:eastAsia="Times New Roman" w:cstheme="minorHAnsi"/>
                <w:sz w:val="20"/>
                <w:szCs w:val="20"/>
              </w:rPr>
              <w:t>.</w:t>
            </w:r>
          </w:p>
          <w:p w14:paraId="334948B3" w14:textId="4A29582B" w:rsidR="00F73C25" w:rsidRPr="005B2A12" w:rsidRDefault="0066103A" w:rsidP="005B2A12">
            <w:pPr>
              <w:rPr>
                <w:rFonts w:eastAsia="Times New Roman" w:cstheme="minorHAnsi"/>
                <w:sz w:val="20"/>
                <w:szCs w:val="20"/>
              </w:rPr>
            </w:pPr>
            <w:r w:rsidRPr="0066103A">
              <w:rPr>
                <w:rFonts w:eastAsia="Times New Roman" w:cstheme="minorHAnsi"/>
                <w:sz w:val="20"/>
                <w:szCs w:val="20"/>
              </w:rPr>
              <w:t>- Influence decision-making to strengthen governance</w:t>
            </w:r>
          </w:p>
        </w:tc>
      </w:tr>
      <w:tr w:rsidR="00F73C25" w:rsidRPr="0066103A" w14:paraId="08DA1E93" w14:textId="77777777" w:rsidTr="00CF75CA">
        <w:trPr>
          <w:trHeight w:val="288"/>
        </w:trPr>
        <w:tc>
          <w:tcPr>
            <w:tcW w:w="10080" w:type="dxa"/>
            <w:gridSpan w:val="2"/>
            <w:shd w:val="clear" w:color="auto" w:fill="BFBFBF" w:themeFill="background1" w:themeFillShade="BF"/>
          </w:tcPr>
          <w:p w14:paraId="6EFA068C" w14:textId="2A14EFEE" w:rsidR="00F73C25" w:rsidRPr="0066103A" w:rsidRDefault="005B2A12" w:rsidP="00CF75CA">
            <w:pPr>
              <w:tabs>
                <w:tab w:val="left" w:pos="7185"/>
              </w:tabs>
              <w:outlineLvl w:val="1"/>
              <w:rPr>
                <w:rFonts w:eastAsia="Times New Roman" w:cstheme="minorHAnsi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val="en-US"/>
              </w:rPr>
              <w:lastRenderedPageBreak/>
              <w:t>CRITICAL COMPETENCIES FOR SUCCESS</w:t>
            </w:r>
            <w:r w:rsidR="00F73C25" w:rsidRPr="0066103A">
              <w:rPr>
                <w:rFonts w:eastAsia="Times New Roman" w:cstheme="minorHAnsi"/>
                <w:b/>
                <w:color w:val="000000"/>
                <w:sz w:val="20"/>
                <w:szCs w:val="20"/>
                <w:lang w:val="en-US"/>
              </w:rPr>
              <w:t xml:space="preserve">      </w:t>
            </w:r>
          </w:p>
        </w:tc>
      </w:tr>
      <w:tr w:rsidR="00F73C25" w:rsidRPr="0066103A" w14:paraId="343AF440" w14:textId="77777777" w:rsidTr="00CF75CA">
        <w:trPr>
          <w:trHeight w:val="70"/>
        </w:trPr>
        <w:tc>
          <w:tcPr>
            <w:tcW w:w="10080" w:type="dxa"/>
            <w:gridSpan w:val="2"/>
          </w:tcPr>
          <w:p w14:paraId="63262722" w14:textId="130CF5A8" w:rsidR="005B2A12" w:rsidRPr="00A53D38" w:rsidRDefault="005B2A12" w:rsidP="00A53D3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53D38">
              <w:rPr>
                <w:rFonts w:cstheme="minorHAnsi"/>
                <w:sz w:val="20"/>
                <w:szCs w:val="20"/>
              </w:rPr>
              <w:t>Commercial Acumen &amp; Risk Judgement – Demonstrates sound financial awareness and the ability to make balanced, risk-informed decisions that support organisational objectives.</w:t>
            </w:r>
          </w:p>
          <w:p w14:paraId="34A88EF3" w14:textId="77777777" w:rsidR="005B2A12" w:rsidRPr="005B2A12" w:rsidRDefault="005B2A12" w:rsidP="00404E1D">
            <w:pPr>
              <w:spacing w:after="0" w:line="240" w:lineRule="auto"/>
              <w:ind w:left="360"/>
              <w:rPr>
                <w:rFonts w:cstheme="minorHAnsi"/>
                <w:sz w:val="20"/>
                <w:szCs w:val="20"/>
              </w:rPr>
            </w:pPr>
          </w:p>
          <w:p w14:paraId="49B8200A" w14:textId="77777777" w:rsidR="005B2A12" w:rsidRPr="00A53D38" w:rsidRDefault="005B2A12" w:rsidP="00A53D3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53D38">
              <w:rPr>
                <w:rFonts w:cstheme="minorHAnsi"/>
                <w:sz w:val="20"/>
                <w:szCs w:val="20"/>
              </w:rPr>
              <w:t>Influencing &amp; Constructive Challenge – Builds strong relationships and confidently challenges assumptions to drive better outcomes.</w:t>
            </w:r>
          </w:p>
          <w:p w14:paraId="03F80835" w14:textId="77777777" w:rsidR="005B2A12" w:rsidRPr="005B2A12" w:rsidRDefault="005B2A12" w:rsidP="00404E1D">
            <w:pPr>
              <w:spacing w:after="0" w:line="240" w:lineRule="auto"/>
              <w:ind w:left="360"/>
              <w:rPr>
                <w:rFonts w:cstheme="minorHAnsi"/>
                <w:sz w:val="20"/>
                <w:szCs w:val="20"/>
              </w:rPr>
            </w:pPr>
          </w:p>
          <w:p w14:paraId="37B1ED8F" w14:textId="77777777" w:rsidR="005B2A12" w:rsidRPr="00A53D38" w:rsidRDefault="005B2A12" w:rsidP="00A53D3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53D38">
              <w:rPr>
                <w:rFonts w:cstheme="minorHAnsi"/>
                <w:sz w:val="20"/>
                <w:szCs w:val="20"/>
              </w:rPr>
              <w:t>Analytical &amp; Communication Excellence – Applies advanced analytical skills to complex issues and communicates findings clearly and persuasively to diverse stakeholders.</w:t>
            </w:r>
          </w:p>
          <w:p w14:paraId="3713C32F" w14:textId="77777777" w:rsidR="005B2A12" w:rsidRPr="005B2A12" w:rsidRDefault="005B2A12" w:rsidP="00404E1D">
            <w:pPr>
              <w:spacing w:after="0" w:line="240" w:lineRule="auto"/>
              <w:ind w:left="360"/>
              <w:rPr>
                <w:rFonts w:cstheme="minorHAnsi"/>
                <w:sz w:val="20"/>
                <w:szCs w:val="20"/>
              </w:rPr>
            </w:pPr>
          </w:p>
          <w:p w14:paraId="3FF35D31" w14:textId="77777777" w:rsidR="005B2A12" w:rsidRPr="00A53D38" w:rsidRDefault="005B2A12" w:rsidP="00A53D3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53D38">
              <w:rPr>
                <w:rFonts w:cstheme="minorHAnsi"/>
                <w:sz w:val="20"/>
                <w:szCs w:val="20"/>
              </w:rPr>
              <w:t>Integrity &amp; Professional Standards – Operates with the highest levels of ethics, confidentiality, and professionalism.</w:t>
            </w:r>
          </w:p>
          <w:p w14:paraId="33F9DD01" w14:textId="77777777" w:rsidR="005B2A12" w:rsidRPr="005B2A12" w:rsidRDefault="005B2A12" w:rsidP="00404E1D">
            <w:pPr>
              <w:spacing w:after="0" w:line="240" w:lineRule="auto"/>
              <w:ind w:left="360"/>
              <w:rPr>
                <w:rFonts w:cstheme="minorHAnsi"/>
                <w:sz w:val="20"/>
                <w:szCs w:val="20"/>
              </w:rPr>
            </w:pPr>
          </w:p>
          <w:p w14:paraId="764AFD42" w14:textId="77777777" w:rsidR="005B2A12" w:rsidRPr="00A53D38" w:rsidRDefault="005B2A12" w:rsidP="00A53D3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53D38">
              <w:rPr>
                <w:rFonts w:cstheme="minorHAnsi"/>
                <w:sz w:val="20"/>
                <w:szCs w:val="20"/>
              </w:rPr>
              <w:t>Strategic Insight &amp; Impact – Thinks strategically and translates insight into actionable recommendations that enhance governance and performance.</w:t>
            </w:r>
          </w:p>
          <w:p w14:paraId="06FFC33F" w14:textId="77777777" w:rsidR="005B2A12" w:rsidRPr="005B2A12" w:rsidRDefault="005B2A12" w:rsidP="00404E1D">
            <w:pPr>
              <w:spacing w:after="0" w:line="240" w:lineRule="auto"/>
              <w:ind w:left="360"/>
              <w:rPr>
                <w:rFonts w:cstheme="minorHAnsi"/>
                <w:sz w:val="20"/>
                <w:szCs w:val="20"/>
              </w:rPr>
            </w:pPr>
          </w:p>
          <w:p w14:paraId="5995E4D6" w14:textId="260F1844" w:rsidR="005B2A12" w:rsidRPr="00A53D38" w:rsidRDefault="00404E1D" w:rsidP="00A53D3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</w:t>
            </w:r>
            <w:r w:rsidR="00C70BA5">
              <w:rPr>
                <w:rFonts w:cstheme="minorHAnsi"/>
                <w:sz w:val="20"/>
                <w:szCs w:val="20"/>
              </w:rPr>
              <w:t>CA</w:t>
            </w:r>
            <w:r>
              <w:rPr>
                <w:rFonts w:cstheme="minorHAnsi"/>
                <w:sz w:val="20"/>
                <w:szCs w:val="20"/>
              </w:rPr>
              <w:t xml:space="preserve"> or ACCA qualified with p</w:t>
            </w:r>
            <w:r w:rsidR="005B2A12" w:rsidRPr="00A53D38">
              <w:rPr>
                <w:rFonts w:cstheme="minorHAnsi"/>
                <w:sz w:val="20"/>
                <w:szCs w:val="20"/>
              </w:rPr>
              <w:t>roven leadership of internal audit functions within multi-site organisations.</w:t>
            </w:r>
          </w:p>
          <w:p w14:paraId="0C7B36FC" w14:textId="77777777" w:rsidR="005B2A12" w:rsidRPr="005B2A12" w:rsidRDefault="005B2A12" w:rsidP="00404E1D">
            <w:pPr>
              <w:spacing w:after="0" w:line="240" w:lineRule="auto"/>
              <w:ind w:left="360"/>
              <w:rPr>
                <w:rFonts w:cstheme="minorHAnsi"/>
                <w:sz w:val="20"/>
                <w:szCs w:val="20"/>
              </w:rPr>
            </w:pPr>
          </w:p>
          <w:p w14:paraId="6678BEE8" w14:textId="77777777" w:rsidR="005B2A12" w:rsidRPr="00A53D38" w:rsidRDefault="005B2A12" w:rsidP="00A53D3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53D38">
              <w:rPr>
                <w:rFonts w:cstheme="minorHAnsi"/>
                <w:sz w:val="20"/>
                <w:szCs w:val="20"/>
              </w:rPr>
              <w:t>Deep understanding of operational and financial control environments.</w:t>
            </w:r>
          </w:p>
          <w:p w14:paraId="06A8845E" w14:textId="77777777" w:rsidR="005B2A12" w:rsidRPr="005B2A12" w:rsidRDefault="005B2A12" w:rsidP="00404E1D">
            <w:pPr>
              <w:spacing w:after="0" w:line="240" w:lineRule="auto"/>
              <w:ind w:left="360"/>
              <w:rPr>
                <w:rFonts w:cstheme="minorHAnsi"/>
                <w:sz w:val="20"/>
                <w:szCs w:val="20"/>
              </w:rPr>
            </w:pPr>
          </w:p>
          <w:p w14:paraId="4140A9F7" w14:textId="77777777" w:rsidR="005B2A12" w:rsidRPr="00A53D38" w:rsidRDefault="005B2A12" w:rsidP="00A53D3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53D38">
              <w:rPr>
                <w:rFonts w:cstheme="minorHAnsi"/>
                <w:sz w:val="20"/>
                <w:szCs w:val="20"/>
              </w:rPr>
              <w:t>Experience presenting to and influencing Audit &amp; Risk Committees.</w:t>
            </w:r>
          </w:p>
          <w:p w14:paraId="0AE4528C" w14:textId="77777777" w:rsidR="005B2A12" w:rsidRPr="005B2A12" w:rsidRDefault="005B2A12" w:rsidP="00404E1D">
            <w:pPr>
              <w:spacing w:after="0" w:line="240" w:lineRule="auto"/>
              <w:ind w:left="360"/>
              <w:rPr>
                <w:rFonts w:cstheme="minorHAnsi"/>
                <w:sz w:val="20"/>
                <w:szCs w:val="20"/>
              </w:rPr>
            </w:pPr>
          </w:p>
          <w:p w14:paraId="4037E117" w14:textId="77777777" w:rsidR="0066103A" w:rsidRPr="00A53D38" w:rsidRDefault="005B2A12" w:rsidP="00A53D3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53D38">
              <w:rPr>
                <w:rFonts w:cstheme="minorHAnsi"/>
                <w:sz w:val="20"/>
                <w:szCs w:val="20"/>
              </w:rPr>
              <w:t>Track record of strengthening governance frameworks and embedding best practice.</w:t>
            </w:r>
          </w:p>
          <w:p w14:paraId="24ADA260" w14:textId="68C540D8" w:rsidR="005B2A12" w:rsidRPr="0066103A" w:rsidRDefault="005B2A12" w:rsidP="005B2A12">
            <w:pPr>
              <w:spacing w:after="0" w:line="240" w:lineRule="auto"/>
              <w:ind w:left="360"/>
              <w:rPr>
                <w:rFonts w:cstheme="minorHAnsi"/>
                <w:sz w:val="20"/>
                <w:szCs w:val="20"/>
              </w:rPr>
            </w:pPr>
          </w:p>
        </w:tc>
      </w:tr>
    </w:tbl>
    <w:p w14:paraId="35DE2BEB" w14:textId="77777777" w:rsidR="00F73C25" w:rsidRPr="0066103A" w:rsidRDefault="00F73C25" w:rsidP="00F73C25">
      <w:pPr>
        <w:spacing w:after="0" w:line="240" w:lineRule="auto"/>
        <w:rPr>
          <w:rFonts w:eastAsia="Times New Roman" w:cstheme="minorHAnsi"/>
          <w:sz w:val="20"/>
          <w:szCs w:val="20"/>
          <w:lang w:val="en-AU"/>
        </w:rPr>
      </w:pPr>
    </w:p>
    <w:p w14:paraId="38C0310A" w14:textId="77777777" w:rsidR="00F73C25" w:rsidRPr="0066103A" w:rsidRDefault="00F73C25">
      <w:pPr>
        <w:rPr>
          <w:rFonts w:cstheme="minorHAnsi"/>
        </w:rPr>
      </w:pPr>
    </w:p>
    <w:sectPr w:rsidR="00F73C25" w:rsidRPr="0066103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92D38" w14:textId="77777777" w:rsidR="00660251" w:rsidRDefault="00660251" w:rsidP="00F73C25">
      <w:pPr>
        <w:spacing w:after="0" w:line="240" w:lineRule="auto"/>
      </w:pPr>
      <w:r>
        <w:separator/>
      </w:r>
    </w:p>
  </w:endnote>
  <w:endnote w:type="continuationSeparator" w:id="0">
    <w:p w14:paraId="2E62777D" w14:textId="77777777" w:rsidR="00660251" w:rsidRDefault="00660251" w:rsidP="00F73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9D17C" w14:textId="77777777" w:rsidR="00660251" w:rsidRDefault="00660251" w:rsidP="00F73C25">
      <w:pPr>
        <w:spacing w:after="0" w:line="240" w:lineRule="auto"/>
      </w:pPr>
      <w:r>
        <w:separator/>
      </w:r>
    </w:p>
  </w:footnote>
  <w:footnote w:type="continuationSeparator" w:id="0">
    <w:p w14:paraId="73112CB5" w14:textId="77777777" w:rsidR="00660251" w:rsidRDefault="00660251" w:rsidP="00F73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33FF1" w14:textId="577045AE" w:rsidR="00F73C25" w:rsidRDefault="00F73C25">
    <w:pPr>
      <w:pStyle w:val="Header"/>
    </w:pPr>
    <w:r w:rsidRPr="00F73C25">
      <w:rPr>
        <w:rFonts w:ascii="Calibri" w:eastAsia="Calibri" w:hAnsi="Calibri" w:cs="Times New Roman"/>
        <w:noProof/>
        <w:lang w:eastAsia="en-GB"/>
      </w:rPr>
      <w:drawing>
        <wp:anchor distT="0" distB="0" distL="114300" distR="114300" simplePos="0" relativeHeight="251658240" behindDoc="1" locked="0" layoutInCell="1" allowOverlap="1" wp14:anchorId="092E14FB" wp14:editId="6E67948F">
          <wp:simplePos x="0" y="0"/>
          <wp:positionH relativeFrom="column">
            <wp:posOffset>4819650</wp:posOffset>
          </wp:positionH>
          <wp:positionV relativeFrom="paragraph">
            <wp:posOffset>-78105</wp:posOffset>
          </wp:positionV>
          <wp:extent cx="1476048" cy="542925"/>
          <wp:effectExtent l="0" t="0" r="0" b="0"/>
          <wp:wrapNone/>
          <wp:docPr id="6" name="Picture 6" descr="PHS_Group_Emai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HS_Group_Emai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8152" cy="54369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45EA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13C77B2F"/>
    <w:multiLevelType w:val="hybridMultilevel"/>
    <w:tmpl w:val="195401A8"/>
    <w:lvl w:ilvl="0" w:tplc="A50686E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697643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 w15:restartNumberingAfterBreak="0">
    <w:nsid w:val="18CA40A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 w15:restartNumberingAfterBreak="0">
    <w:nsid w:val="289522B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2BD258B9"/>
    <w:multiLevelType w:val="singleLevel"/>
    <w:tmpl w:val="FC0CF208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A417C63"/>
    <w:multiLevelType w:val="hybridMultilevel"/>
    <w:tmpl w:val="CD444192"/>
    <w:lvl w:ilvl="0" w:tplc="F7F2A750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FD92111"/>
    <w:multiLevelType w:val="hybridMultilevel"/>
    <w:tmpl w:val="8460F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F71EB9"/>
    <w:multiLevelType w:val="hybridMultilevel"/>
    <w:tmpl w:val="39AAAAE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26E441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451D2A99"/>
    <w:multiLevelType w:val="hybridMultilevel"/>
    <w:tmpl w:val="CFAEF0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9BB3FD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2" w15:restartNumberingAfterBreak="0">
    <w:nsid w:val="76FE311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3" w15:restartNumberingAfterBreak="0">
    <w:nsid w:val="7A282119"/>
    <w:multiLevelType w:val="hybridMultilevel"/>
    <w:tmpl w:val="0C7A096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 w16cid:durableId="1141965766">
    <w:abstractNumId w:val="1"/>
  </w:num>
  <w:num w:numId="2" w16cid:durableId="2137483281">
    <w:abstractNumId w:val="8"/>
  </w:num>
  <w:num w:numId="3" w16cid:durableId="513691162">
    <w:abstractNumId w:val="13"/>
  </w:num>
  <w:num w:numId="4" w16cid:durableId="2039041622">
    <w:abstractNumId w:val="5"/>
  </w:num>
  <w:num w:numId="5" w16cid:durableId="59639773">
    <w:abstractNumId w:val="2"/>
  </w:num>
  <w:num w:numId="6" w16cid:durableId="1246495482">
    <w:abstractNumId w:val="11"/>
  </w:num>
  <w:num w:numId="7" w16cid:durableId="1884248704">
    <w:abstractNumId w:val="9"/>
  </w:num>
  <w:num w:numId="8" w16cid:durableId="874734841">
    <w:abstractNumId w:val="0"/>
  </w:num>
  <w:num w:numId="9" w16cid:durableId="1600026346">
    <w:abstractNumId w:val="4"/>
  </w:num>
  <w:num w:numId="10" w16cid:durableId="1387220099">
    <w:abstractNumId w:val="12"/>
  </w:num>
  <w:num w:numId="11" w16cid:durableId="43525187">
    <w:abstractNumId w:val="3"/>
  </w:num>
  <w:num w:numId="12" w16cid:durableId="194463292">
    <w:abstractNumId w:val="7"/>
  </w:num>
  <w:num w:numId="13" w16cid:durableId="1572615523">
    <w:abstractNumId w:val="10"/>
  </w:num>
  <w:num w:numId="14" w16cid:durableId="6020383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C25"/>
    <w:rsid w:val="000A6081"/>
    <w:rsid w:val="001604D3"/>
    <w:rsid w:val="001620AD"/>
    <w:rsid w:val="00244C4C"/>
    <w:rsid w:val="002B59B5"/>
    <w:rsid w:val="0030076C"/>
    <w:rsid w:val="00404E1D"/>
    <w:rsid w:val="0045050C"/>
    <w:rsid w:val="00585B66"/>
    <w:rsid w:val="005B2A12"/>
    <w:rsid w:val="00660251"/>
    <w:rsid w:val="0066103A"/>
    <w:rsid w:val="006964FC"/>
    <w:rsid w:val="006F02B9"/>
    <w:rsid w:val="007161A6"/>
    <w:rsid w:val="008D0BF8"/>
    <w:rsid w:val="00901B20"/>
    <w:rsid w:val="00A14CCD"/>
    <w:rsid w:val="00A53D38"/>
    <w:rsid w:val="00B46702"/>
    <w:rsid w:val="00C70BA5"/>
    <w:rsid w:val="00F7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545C04"/>
  <w15:chartTrackingRefBased/>
  <w15:docId w15:val="{00FFF24E-2FDF-4B35-84F6-DAE5757DA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C25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3C2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3C25"/>
    <w:pPr>
      <w:ind w:left="720"/>
      <w:contextualSpacing/>
    </w:pPr>
    <w:rPr>
      <w:lang w:val="en-US"/>
    </w:rPr>
  </w:style>
  <w:style w:type="paragraph" w:customStyle="1" w:styleId="HBNormal">
    <w:name w:val="HB Normal"/>
    <w:basedOn w:val="Normal"/>
    <w:uiPriority w:val="99"/>
    <w:rsid w:val="00F73C25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73C25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F73C25"/>
    <w:rPr>
      <w:rFonts w:ascii="Arial" w:eastAsia="Times New Roman" w:hAnsi="Arial" w:cs="Arial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73C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3C25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73C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3C25"/>
    <w:rPr>
      <w:kern w:val="0"/>
      <w14:ligatures w14:val="none"/>
    </w:rPr>
  </w:style>
  <w:style w:type="paragraph" w:styleId="Revision">
    <w:name w:val="Revision"/>
    <w:hidden/>
    <w:uiPriority w:val="99"/>
    <w:semiHidden/>
    <w:rsid w:val="006964FC"/>
    <w:pPr>
      <w:spacing w:after="0" w:line="240" w:lineRule="auto"/>
    </w:pPr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964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64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64FC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64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64FC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0CD28-243C-45D8-9518-F03DD3A96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3878</Characters>
  <Application>Microsoft Office Word</Application>
  <DocSecurity>0</DocSecurity>
  <Lines>82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Personnel Hygiene Services Ltd</Company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Baxter</dc:creator>
  <cp:keywords/>
  <dc:description/>
  <cp:lastModifiedBy>Colin Thomas</cp:lastModifiedBy>
  <cp:revision>3</cp:revision>
  <dcterms:created xsi:type="dcterms:W3CDTF">2025-12-15T15:06:00Z</dcterms:created>
  <dcterms:modified xsi:type="dcterms:W3CDTF">2025-12-15T15:06:00Z</dcterms:modified>
</cp:coreProperties>
</file>