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886"/>
        <w:tblW w:w="10080" w:type="dxa"/>
        <w:tblLayout w:type="fixed"/>
        <w:tblLook w:val="0000" w:firstRow="0" w:lastRow="0" w:firstColumn="0" w:lastColumn="0" w:noHBand="0" w:noVBand="0"/>
      </w:tblPr>
      <w:tblGrid>
        <w:gridCol w:w="2430"/>
        <w:gridCol w:w="7650"/>
      </w:tblGrid>
      <w:tr w:rsidR="00A31A09" w:rsidRPr="003838A6" w14:paraId="212C7956" w14:textId="77777777" w:rsidTr="00A31A09">
        <w:trPr>
          <w:trHeight w:hRule="exact" w:val="403"/>
        </w:trPr>
        <w:tc>
          <w:tcPr>
            <w:tcW w:w="2430" w:type="dxa"/>
            <w:shd w:val="clear" w:color="auto" w:fill="BFBFBF" w:themeFill="background1" w:themeFillShade="BF"/>
          </w:tcPr>
          <w:p w14:paraId="53DDC537" w14:textId="77777777" w:rsidR="00A31A09" w:rsidRPr="003838A6" w:rsidRDefault="00A31A09" w:rsidP="00A31A09">
            <w:pPr>
              <w:rPr>
                <w:rFonts w:eastAsia="Times New Roman" w:cstheme="minorHAnsi"/>
                <w:b/>
                <w:lang w:val="en-AU"/>
              </w:rPr>
            </w:pPr>
            <w:r w:rsidRPr="003838A6">
              <w:rPr>
                <w:rFonts w:eastAsia="Times New Roman" w:cstheme="minorHAnsi"/>
                <w:b/>
                <w:lang w:val="en-AU"/>
              </w:rPr>
              <w:t xml:space="preserve">Job Title </w:t>
            </w:r>
          </w:p>
        </w:tc>
        <w:tc>
          <w:tcPr>
            <w:tcW w:w="7650" w:type="dxa"/>
          </w:tcPr>
          <w:p w14:paraId="7DE3A48C" w14:textId="26F6B6C0" w:rsidR="00A31A09" w:rsidRPr="00A31A09" w:rsidRDefault="00EA0F03" w:rsidP="00A31A09">
            <w:pPr>
              <w:rPr>
                <w:rFonts w:eastAsia="Times New Roman" w:cstheme="minorHAnsi"/>
                <w:bCs/>
                <w:lang w:val="en-AU"/>
              </w:rPr>
            </w:pPr>
            <w:r>
              <w:rPr>
                <w:rFonts w:eastAsia="Times New Roman" w:cstheme="minorHAnsi"/>
                <w:bCs/>
                <w:lang w:val="en-AU"/>
              </w:rPr>
              <w:t>General Counsel Risk and Compliance Lead</w:t>
            </w:r>
          </w:p>
        </w:tc>
      </w:tr>
      <w:tr w:rsidR="00A31A09" w:rsidRPr="00A31A09" w14:paraId="27D41601" w14:textId="77777777" w:rsidTr="00A31A09">
        <w:trPr>
          <w:trHeight w:hRule="exact" w:val="403"/>
        </w:trPr>
        <w:tc>
          <w:tcPr>
            <w:tcW w:w="2430" w:type="dxa"/>
            <w:shd w:val="clear" w:color="auto" w:fill="BFBFBF" w:themeFill="background1" w:themeFillShade="BF"/>
          </w:tcPr>
          <w:p w14:paraId="42379010" w14:textId="77777777" w:rsidR="00A31A09" w:rsidRPr="00A31A09" w:rsidRDefault="00A31A09" w:rsidP="00A31A09">
            <w:pPr>
              <w:rPr>
                <w:rFonts w:ascii="Calibri" w:eastAsia="Times New Roman" w:hAnsi="Calibri" w:cs="Calibri"/>
                <w:b/>
                <w:lang w:val="en-AU"/>
              </w:rPr>
            </w:pPr>
            <w:r w:rsidRPr="00A31A09">
              <w:rPr>
                <w:rFonts w:ascii="Calibri" w:eastAsia="Times New Roman" w:hAnsi="Calibri" w:cs="Calibri"/>
                <w:b/>
                <w:lang w:val="en-AU"/>
              </w:rPr>
              <w:t>Location</w:t>
            </w:r>
          </w:p>
        </w:tc>
        <w:tc>
          <w:tcPr>
            <w:tcW w:w="7650" w:type="dxa"/>
          </w:tcPr>
          <w:p w14:paraId="689E9C03" w14:textId="6A59A558" w:rsidR="00A31A09" w:rsidRPr="00A31A09" w:rsidRDefault="00E464F6" w:rsidP="00A31A09">
            <w:pPr>
              <w:rPr>
                <w:rFonts w:ascii="Calibri" w:eastAsia="Times New Roman" w:hAnsi="Calibri" w:cs="Calibri"/>
                <w:bCs/>
                <w:lang w:val="en-AU"/>
              </w:rPr>
            </w:pPr>
            <w:r w:rsidRPr="00B02111">
              <w:rPr>
                <w:rFonts w:ascii="Calibri" w:eastAsia="Times New Roman" w:hAnsi="Calibri" w:cs="Calibri"/>
                <w:b/>
                <w:lang w:val="en-AU"/>
              </w:rPr>
              <w:t>phs</w:t>
            </w:r>
            <w:r>
              <w:rPr>
                <w:rFonts w:ascii="Calibri" w:eastAsia="Times New Roman" w:hAnsi="Calibri" w:cs="Calibri"/>
                <w:bCs/>
                <w:lang w:val="en-AU"/>
              </w:rPr>
              <w:t xml:space="preserve"> Group Head Offices</w:t>
            </w:r>
            <w:r w:rsidR="00AC5B4F">
              <w:rPr>
                <w:rFonts w:ascii="Calibri" w:eastAsia="Times New Roman" w:hAnsi="Calibri" w:cs="Calibri"/>
                <w:bCs/>
                <w:lang w:val="en-AU"/>
              </w:rPr>
              <w:t xml:space="preserve"> (Caerphilly/Tamworth)</w:t>
            </w:r>
          </w:p>
        </w:tc>
      </w:tr>
      <w:tr w:rsidR="00A31A09" w:rsidRPr="00A31A09" w14:paraId="0B9E96ED" w14:textId="77777777" w:rsidTr="00A31A09">
        <w:trPr>
          <w:trHeight w:hRule="exact" w:val="403"/>
        </w:trPr>
        <w:tc>
          <w:tcPr>
            <w:tcW w:w="2430" w:type="dxa"/>
            <w:shd w:val="clear" w:color="auto" w:fill="BFBFBF" w:themeFill="background1" w:themeFillShade="BF"/>
          </w:tcPr>
          <w:p w14:paraId="0E5CE1F5" w14:textId="77777777" w:rsidR="00A31A09" w:rsidRPr="00A31A09" w:rsidRDefault="00A31A09" w:rsidP="00A31A09">
            <w:pPr>
              <w:rPr>
                <w:rFonts w:ascii="Calibri" w:eastAsia="Times New Roman" w:hAnsi="Calibri" w:cs="Calibri"/>
                <w:b/>
                <w:lang w:val="en-AU"/>
              </w:rPr>
            </w:pPr>
            <w:r w:rsidRPr="00A31A09">
              <w:rPr>
                <w:rFonts w:ascii="Calibri" w:eastAsia="Times New Roman" w:hAnsi="Calibri" w:cs="Calibri"/>
                <w:b/>
                <w:lang w:val="en-AU"/>
              </w:rPr>
              <w:t>Reports to</w:t>
            </w:r>
          </w:p>
        </w:tc>
        <w:tc>
          <w:tcPr>
            <w:tcW w:w="7650" w:type="dxa"/>
          </w:tcPr>
          <w:p w14:paraId="1C553352" w14:textId="2EBE293C" w:rsidR="00A31A09" w:rsidRPr="00A31A09" w:rsidRDefault="00A31A09" w:rsidP="00A31A09">
            <w:pPr>
              <w:rPr>
                <w:rFonts w:ascii="Calibri" w:eastAsia="Times New Roman" w:hAnsi="Calibri" w:cs="Calibri"/>
                <w:bCs/>
                <w:lang w:val="en-AU"/>
              </w:rPr>
            </w:pPr>
            <w:r w:rsidRPr="00A31A09">
              <w:rPr>
                <w:rFonts w:ascii="Calibri" w:eastAsia="Times New Roman" w:hAnsi="Calibri" w:cs="Calibri"/>
                <w:bCs/>
                <w:lang w:val="en-AU"/>
              </w:rPr>
              <w:t xml:space="preserve">CEO </w:t>
            </w:r>
            <w:r w:rsidR="007244DC" w:rsidRPr="00B02111">
              <w:rPr>
                <w:rFonts w:ascii="Calibri" w:eastAsia="Times New Roman" w:hAnsi="Calibri" w:cs="Calibri"/>
                <w:bCs/>
                <w:lang w:val="en-AU"/>
              </w:rPr>
              <w:t xml:space="preserve">and Board of Directors </w:t>
            </w:r>
            <w:r w:rsidRPr="00B02111">
              <w:rPr>
                <w:rFonts w:ascii="Calibri" w:eastAsia="Times New Roman" w:hAnsi="Calibri" w:cs="Calibri"/>
                <w:bCs/>
                <w:lang w:val="en-AU"/>
              </w:rPr>
              <w:t>– phs</w:t>
            </w:r>
            <w:r w:rsidRPr="00A31A09">
              <w:rPr>
                <w:rFonts w:ascii="Calibri" w:eastAsia="Times New Roman" w:hAnsi="Calibri" w:cs="Calibri"/>
                <w:bCs/>
                <w:lang w:val="en-AU"/>
              </w:rPr>
              <w:t xml:space="preserve"> Group</w:t>
            </w:r>
          </w:p>
        </w:tc>
      </w:tr>
      <w:tr w:rsidR="00A31A09" w:rsidRPr="00A31A09" w14:paraId="50E0F36B" w14:textId="77777777" w:rsidTr="00A31A09">
        <w:trPr>
          <w:trHeight w:hRule="exact" w:val="492"/>
        </w:trPr>
        <w:tc>
          <w:tcPr>
            <w:tcW w:w="2430" w:type="dxa"/>
            <w:shd w:val="clear" w:color="auto" w:fill="BFBFBF" w:themeFill="background1" w:themeFillShade="BF"/>
          </w:tcPr>
          <w:p w14:paraId="5E10B62C" w14:textId="77777777" w:rsidR="00A31A09" w:rsidRPr="00A31A09" w:rsidRDefault="00A31A09" w:rsidP="00A31A09">
            <w:pPr>
              <w:rPr>
                <w:rFonts w:ascii="Calibri" w:eastAsia="Times New Roman" w:hAnsi="Calibri" w:cs="Calibri"/>
                <w:b/>
                <w:lang w:val="en-AU"/>
              </w:rPr>
            </w:pPr>
            <w:r w:rsidRPr="00A31A09">
              <w:rPr>
                <w:rFonts w:ascii="Calibri" w:eastAsia="Times New Roman" w:hAnsi="Calibri" w:cs="Calibri"/>
                <w:b/>
                <w:lang w:val="en-AU"/>
              </w:rPr>
              <w:t>Direct Reports</w:t>
            </w:r>
          </w:p>
        </w:tc>
        <w:tc>
          <w:tcPr>
            <w:tcW w:w="7650" w:type="dxa"/>
          </w:tcPr>
          <w:p w14:paraId="4229990A" w14:textId="7BFC5A62" w:rsidR="00A31A09" w:rsidRPr="00A31A09" w:rsidRDefault="00977442" w:rsidP="00A31A09">
            <w:pPr>
              <w:rPr>
                <w:rFonts w:ascii="Calibri" w:eastAsia="Times New Roman" w:hAnsi="Calibri" w:cs="Calibri"/>
                <w:bCs/>
                <w:lang w:val="en-AU"/>
              </w:rPr>
            </w:pPr>
            <w:r>
              <w:rPr>
                <w:rFonts w:ascii="Calibri" w:eastAsia="Times New Roman" w:hAnsi="Calibri" w:cs="Calibri"/>
                <w:bCs/>
                <w:lang w:val="en-AU"/>
              </w:rPr>
              <w:t xml:space="preserve">Head of </w:t>
            </w:r>
            <w:r w:rsidR="00E464F6">
              <w:rPr>
                <w:rFonts w:ascii="Calibri" w:eastAsia="Times New Roman" w:hAnsi="Calibri" w:cs="Calibri"/>
                <w:bCs/>
                <w:lang w:val="en-AU"/>
              </w:rPr>
              <w:t xml:space="preserve">Commercial </w:t>
            </w:r>
            <w:r>
              <w:rPr>
                <w:rFonts w:ascii="Calibri" w:eastAsia="Times New Roman" w:hAnsi="Calibri" w:cs="Calibri"/>
                <w:bCs/>
                <w:lang w:val="en-AU"/>
              </w:rPr>
              <w:t xml:space="preserve">Legal, </w:t>
            </w:r>
            <w:r w:rsidR="00FE28C2">
              <w:rPr>
                <w:rFonts w:ascii="Calibri" w:eastAsia="Times New Roman" w:hAnsi="Calibri" w:cs="Calibri"/>
                <w:bCs/>
                <w:lang w:val="en-AU"/>
              </w:rPr>
              <w:t>Senior Legal Counsel</w:t>
            </w:r>
          </w:p>
        </w:tc>
      </w:tr>
      <w:tr w:rsidR="00A31A09" w:rsidRPr="00A31A09" w14:paraId="3D56E7DF" w14:textId="77777777" w:rsidTr="00504413">
        <w:trPr>
          <w:trHeight w:hRule="exact" w:val="1013"/>
        </w:trPr>
        <w:tc>
          <w:tcPr>
            <w:tcW w:w="2430" w:type="dxa"/>
            <w:tcBorders>
              <w:top w:val="single" w:sz="6" w:space="0" w:color="auto"/>
              <w:left w:val="single" w:sz="6" w:space="0" w:color="auto"/>
              <w:bottom w:val="single" w:sz="6" w:space="0" w:color="auto"/>
              <w:right w:val="single" w:sz="6" w:space="0" w:color="auto"/>
            </w:tcBorders>
            <w:shd w:val="clear" w:color="auto" w:fill="BFBFBF"/>
          </w:tcPr>
          <w:p w14:paraId="6BBB152D" w14:textId="678134C1" w:rsidR="00A31A09" w:rsidRPr="00A31A09" w:rsidRDefault="00A31A09" w:rsidP="00A31A09">
            <w:pPr>
              <w:rPr>
                <w:rFonts w:ascii="Calibri" w:eastAsia="Times New Roman" w:hAnsi="Calibri" w:cs="Calibri"/>
                <w:b/>
                <w:lang w:val="en-AU"/>
              </w:rPr>
            </w:pPr>
            <w:r w:rsidRPr="007B0770">
              <w:rPr>
                <w:rFonts w:ascii="Calibri" w:eastAsia="Times New Roman" w:hAnsi="Calibri" w:cs="Calibri"/>
                <w:b/>
                <w:bCs/>
                <w:lang w:val="en-AU" w:eastAsia="en-GB"/>
              </w:rPr>
              <w:t>Other key relationships</w:t>
            </w:r>
            <w:r w:rsidRPr="007B0770">
              <w:rPr>
                <w:rFonts w:ascii="Calibri" w:eastAsia="Times New Roman" w:hAnsi="Calibri" w:cs="Calibri"/>
                <w:lang w:eastAsia="en-GB"/>
              </w:rPr>
              <w:t> </w:t>
            </w:r>
          </w:p>
        </w:tc>
        <w:tc>
          <w:tcPr>
            <w:tcW w:w="7650" w:type="dxa"/>
            <w:tcBorders>
              <w:top w:val="single" w:sz="6" w:space="0" w:color="auto"/>
              <w:left w:val="single" w:sz="6" w:space="0" w:color="auto"/>
              <w:bottom w:val="single" w:sz="6" w:space="0" w:color="auto"/>
              <w:right w:val="single" w:sz="6" w:space="0" w:color="auto"/>
            </w:tcBorders>
          </w:tcPr>
          <w:p w14:paraId="03285524" w14:textId="202F8F11" w:rsidR="00A31A09" w:rsidRPr="00A31A09" w:rsidRDefault="00FE28C2" w:rsidP="00A31A09">
            <w:pPr>
              <w:rPr>
                <w:rFonts w:ascii="Calibri" w:eastAsia="Times New Roman" w:hAnsi="Calibri" w:cs="Calibri"/>
                <w:bCs/>
                <w:lang w:val="en-AU"/>
              </w:rPr>
            </w:pPr>
            <w:r>
              <w:rPr>
                <w:rFonts w:ascii="Calibri" w:eastAsia="Times New Roman" w:hAnsi="Calibri" w:cs="Calibri"/>
                <w:bCs/>
                <w:lang w:val="en-AU" w:eastAsia="en-GB"/>
              </w:rPr>
              <w:t xml:space="preserve">Bidvest Group, </w:t>
            </w:r>
            <w:r w:rsidR="00A31A09" w:rsidRPr="00A31A09">
              <w:rPr>
                <w:rFonts w:ascii="Calibri" w:eastAsia="Times New Roman" w:hAnsi="Calibri" w:cs="Calibri"/>
                <w:bCs/>
                <w:lang w:val="en-AU" w:eastAsia="en-GB"/>
              </w:rPr>
              <w:t>CFO</w:t>
            </w:r>
            <w:r w:rsidR="00A31A09" w:rsidRPr="007B0770">
              <w:rPr>
                <w:rFonts w:ascii="Calibri" w:eastAsia="Times New Roman" w:hAnsi="Calibri" w:cs="Calibri"/>
                <w:bCs/>
                <w:lang w:val="en-AU" w:eastAsia="en-GB"/>
              </w:rPr>
              <w:t xml:space="preserve">, Group HR, Group IT, </w:t>
            </w:r>
            <w:r w:rsidR="00A31A09" w:rsidRPr="00A31A09">
              <w:rPr>
                <w:rFonts w:ascii="Calibri" w:eastAsia="Times New Roman" w:hAnsi="Calibri" w:cs="Calibri"/>
                <w:bCs/>
                <w:lang w:val="en-AU" w:eastAsia="en-GB"/>
              </w:rPr>
              <w:t xml:space="preserve">CCO, </w:t>
            </w:r>
            <w:r w:rsidR="00A31A09" w:rsidRPr="007B0770">
              <w:rPr>
                <w:rFonts w:ascii="Calibri" w:eastAsia="Times New Roman" w:hAnsi="Calibri" w:cs="Calibri"/>
                <w:bCs/>
                <w:lang w:val="en-AU" w:eastAsia="en-GB"/>
              </w:rPr>
              <w:t>Fleet</w:t>
            </w:r>
            <w:r>
              <w:rPr>
                <w:rFonts w:ascii="Calibri" w:eastAsia="Times New Roman" w:hAnsi="Calibri" w:cs="Calibri"/>
                <w:bCs/>
                <w:lang w:val="en-AU" w:eastAsia="en-GB"/>
              </w:rPr>
              <w:t>,</w:t>
            </w:r>
            <w:r w:rsidR="00A31A09" w:rsidRPr="007B0770">
              <w:rPr>
                <w:rFonts w:ascii="Calibri" w:eastAsia="Times New Roman" w:hAnsi="Calibri" w:cs="Calibri"/>
                <w:bCs/>
                <w:lang w:val="en-AU" w:eastAsia="en-GB"/>
              </w:rPr>
              <w:t xml:space="preserve"> Procurement, </w:t>
            </w:r>
            <w:r w:rsidR="0049497C">
              <w:rPr>
                <w:rFonts w:ascii="Calibri" w:eastAsia="Times New Roman" w:hAnsi="Calibri" w:cs="Calibri"/>
                <w:bCs/>
                <w:lang w:eastAsia="en-GB"/>
              </w:rPr>
              <w:t>External regulatory</w:t>
            </w:r>
            <w:r w:rsidR="00241BA6">
              <w:rPr>
                <w:rFonts w:ascii="Calibri" w:eastAsia="Times New Roman" w:hAnsi="Calibri" w:cs="Calibri"/>
                <w:bCs/>
                <w:lang w:eastAsia="en-GB"/>
              </w:rPr>
              <w:t xml:space="preserve"> relationships (Insur</w:t>
            </w:r>
            <w:r w:rsidR="00E464F6">
              <w:rPr>
                <w:rFonts w:ascii="Calibri" w:eastAsia="Times New Roman" w:hAnsi="Calibri" w:cs="Calibri"/>
                <w:bCs/>
                <w:lang w:eastAsia="en-GB"/>
              </w:rPr>
              <w:t>ance</w:t>
            </w:r>
            <w:r w:rsidR="00241BA6">
              <w:rPr>
                <w:rFonts w:ascii="Calibri" w:eastAsia="Times New Roman" w:hAnsi="Calibri" w:cs="Calibri"/>
                <w:bCs/>
                <w:lang w:eastAsia="en-GB"/>
              </w:rPr>
              <w:t xml:space="preserve">, </w:t>
            </w:r>
            <w:r w:rsidR="00E464F6">
              <w:rPr>
                <w:rFonts w:ascii="Calibri" w:eastAsia="Times New Roman" w:hAnsi="Calibri" w:cs="Calibri"/>
                <w:bCs/>
                <w:lang w:eastAsia="en-GB"/>
              </w:rPr>
              <w:t>P</w:t>
            </w:r>
            <w:r w:rsidR="00241BA6">
              <w:rPr>
                <w:rFonts w:ascii="Calibri" w:eastAsia="Times New Roman" w:hAnsi="Calibri" w:cs="Calibri"/>
                <w:bCs/>
                <w:lang w:eastAsia="en-GB"/>
              </w:rPr>
              <w:t>ensions etc)</w:t>
            </w:r>
            <w:r w:rsidR="00504413">
              <w:rPr>
                <w:rFonts w:ascii="Calibri" w:eastAsia="Times New Roman" w:hAnsi="Calibri" w:cs="Calibri"/>
                <w:bCs/>
                <w:lang w:eastAsia="en-GB"/>
              </w:rPr>
              <w:t>,</w:t>
            </w:r>
            <w:r w:rsidR="00645F5A">
              <w:t xml:space="preserve"> </w:t>
            </w:r>
            <w:r w:rsidR="00645F5A" w:rsidRPr="00645F5A">
              <w:rPr>
                <w:rFonts w:ascii="Calibri" w:eastAsia="Times New Roman" w:hAnsi="Calibri" w:cs="Calibri"/>
                <w:bCs/>
                <w:lang w:eastAsia="en-GB"/>
              </w:rPr>
              <w:t>Pension Scheme Advisors and Administrators</w:t>
            </w:r>
            <w:r w:rsidR="00645F5A">
              <w:rPr>
                <w:rFonts w:ascii="Calibri" w:eastAsia="Times New Roman" w:hAnsi="Calibri" w:cs="Calibri"/>
                <w:bCs/>
                <w:lang w:eastAsia="en-GB"/>
              </w:rPr>
              <w:t>,</w:t>
            </w:r>
            <w:r w:rsidR="00504413">
              <w:rPr>
                <w:rFonts w:ascii="Calibri" w:eastAsia="Times New Roman" w:hAnsi="Calibri" w:cs="Calibri"/>
                <w:bCs/>
                <w:lang w:eastAsia="en-GB"/>
              </w:rPr>
              <w:t xml:space="preserve"> External Legal Counsel, Internal Risk and Audit Committees.</w:t>
            </w:r>
          </w:p>
        </w:tc>
      </w:tr>
    </w:tbl>
    <w:p w14:paraId="09CE6AD4" w14:textId="34255FF5" w:rsidR="001F4B88" w:rsidRDefault="00A31A09" w:rsidP="00A31A09">
      <w:pPr>
        <w:spacing w:after="0" w:line="240" w:lineRule="auto"/>
        <w:jc w:val="right"/>
        <w:rPr>
          <w:rFonts w:eastAsia="Times New Roman" w:cs="Times New Roman"/>
          <w:lang w:val="en-AU"/>
        </w:rPr>
      </w:pPr>
      <w:bookmarkStart w:id="0" w:name="_Toc161497483"/>
      <w:r w:rsidRPr="0044313A">
        <w:rPr>
          <w:rFonts w:eastAsia="Times New Roman" w:cs="Arial"/>
          <w:noProof/>
          <w:color w:val="17A1A2"/>
          <w:spacing w:val="-2"/>
          <w:lang w:eastAsia="en-GB"/>
        </w:rPr>
        <w:drawing>
          <wp:inline distT="0" distB="0" distL="0" distR="0" wp14:anchorId="18DF13FF" wp14:editId="410ED6E2">
            <wp:extent cx="1451848" cy="378460"/>
            <wp:effectExtent l="0" t="0" r="0" b="2540"/>
            <wp:docPr id="6" name="Picture 6" descr="PHS Grou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 Group">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828" cy="383408"/>
                    </a:xfrm>
                    <a:prstGeom prst="rect">
                      <a:avLst/>
                    </a:prstGeom>
                    <a:noFill/>
                    <a:ln>
                      <a:noFill/>
                    </a:ln>
                  </pic:spPr>
                </pic:pic>
              </a:graphicData>
            </a:graphic>
          </wp:inline>
        </w:drawing>
      </w:r>
    </w:p>
    <w:p w14:paraId="1DED6BAA" w14:textId="77777777" w:rsidR="00A31A09" w:rsidRDefault="00A31A09" w:rsidP="001F4B88">
      <w:pPr>
        <w:spacing w:after="0" w:line="240" w:lineRule="auto"/>
        <w:rPr>
          <w:rFonts w:eastAsia="Times New Roman" w:cs="Times New Roman"/>
          <w:lang w:val="en-AU"/>
        </w:rPr>
      </w:pPr>
    </w:p>
    <w:p w14:paraId="0D8655AA" w14:textId="77777777" w:rsidR="00A31A09" w:rsidRPr="0044313A" w:rsidRDefault="00A31A09" w:rsidP="001F4B88">
      <w:pPr>
        <w:spacing w:after="0" w:line="240" w:lineRule="auto"/>
        <w:rPr>
          <w:rFonts w:eastAsia="Times New Roman" w:cs="Times New Roman"/>
          <w:lang w:val="en-AU"/>
        </w:rPr>
      </w:pPr>
    </w:p>
    <w:tbl>
      <w:tblPr>
        <w:tblStyle w:val="TableGrid"/>
        <w:tblW w:w="10080" w:type="dxa"/>
        <w:tblLayout w:type="fixed"/>
        <w:tblLook w:val="0000" w:firstRow="0" w:lastRow="0" w:firstColumn="0" w:lastColumn="0" w:noHBand="0" w:noVBand="0"/>
      </w:tblPr>
      <w:tblGrid>
        <w:gridCol w:w="10080"/>
      </w:tblGrid>
      <w:tr w:rsidR="001F4B88" w:rsidRPr="00A31A09" w14:paraId="53A16DF4" w14:textId="77777777" w:rsidTr="00764E7A">
        <w:trPr>
          <w:trHeight w:val="288"/>
        </w:trPr>
        <w:tc>
          <w:tcPr>
            <w:tcW w:w="10080" w:type="dxa"/>
            <w:shd w:val="clear" w:color="auto" w:fill="BFBFBF" w:themeFill="background1" w:themeFillShade="BF"/>
          </w:tcPr>
          <w:bookmarkEnd w:id="0"/>
          <w:p w14:paraId="6ED09999" w14:textId="77777777" w:rsidR="001F4B88" w:rsidRPr="00A31A09" w:rsidRDefault="001F4B88" w:rsidP="00764E7A">
            <w:pPr>
              <w:tabs>
                <w:tab w:val="left" w:pos="7185"/>
              </w:tabs>
              <w:outlineLvl w:val="1"/>
              <w:rPr>
                <w:rFonts w:ascii="Calibri" w:eastAsia="Times New Roman" w:hAnsi="Calibri" w:cs="Calibri"/>
                <w:b/>
                <w:caps/>
                <w:color w:val="000000"/>
                <w:lang w:val="en-US"/>
              </w:rPr>
            </w:pPr>
            <w:r w:rsidRPr="00A31A09">
              <w:rPr>
                <w:rFonts w:ascii="Calibri" w:eastAsia="Times New Roman" w:hAnsi="Calibri" w:cs="Calibri"/>
                <w:b/>
                <w:caps/>
                <w:color w:val="000000"/>
                <w:lang w:val="en-US"/>
              </w:rPr>
              <w:t>About us</w:t>
            </w:r>
          </w:p>
        </w:tc>
      </w:tr>
      <w:tr w:rsidR="001F4B88" w:rsidRPr="00A31A09" w14:paraId="5018A55C" w14:textId="77777777" w:rsidTr="00764E7A">
        <w:trPr>
          <w:trHeight w:val="288"/>
        </w:trPr>
        <w:tc>
          <w:tcPr>
            <w:tcW w:w="10080" w:type="dxa"/>
          </w:tcPr>
          <w:p w14:paraId="6F20BF37" w14:textId="77777777" w:rsidR="00A31A09" w:rsidRDefault="007B0770" w:rsidP="00A31A09">
            <w:pPr>
              <w:spacing w:line="240" w:lineRule="auto"/>
              <w:rPr>
                <w:rFonts w:ascii="Calibri" w:hAnsi="Calibri" w:cs="Calibri"/>
                <w:b/>
                <w:bCs/>
              </w:rPr>
            </w:pPr>
            <w:r w:rsidRPr="00A31A09">
              <w:rPr>
                <w:rFonts w:ascii="Calibri" w:hAnsi="Calibri" w:cs="Calibri"/>
                <w:b/>
                <w:bCs/>
              </w:rPr>
              <w:t>About phs (A Bidvest Company)</w:t>
            </w:r>
          </w:p>
          <w:p w14:paraId="78A79554" w14:textId="5B903187" w:rsidR="00A31A09" w:rsidRPr="00504413" w:rsidRDefault="007B0770" w:rsidP="00504413">
            <w:pPr>
              <w:spacing w:line="240" w:lineRule="auto"/>
              <w:rPr>
                <w:rFonts w:ascii="Calibri" w:hAnsi="Calibri" w:cs="Calibri"/>
              </w:rPr>
            </w:pPr>
            <w:r w:rsidRPr="00A31A09">
              <w:rPr>
                <w:rFonts w:ascii="Calibri" w:hAnsi="Calibri" w:cs="Calibri"/>
              </w:rPr>
              <w:t>phs Group are the leading hygiene services provider in the UK, Spain, and Ireland. With over 120,000 customers in over 300,000 locations, supporting everything from restaurants to offices, and hospitals to schools, meeting the needs of up to 100 million people.</w:t>
            </w:r>
            <w:r w:rsidR="00A31A09">
              <w:rPr>
                <w:rFonts w:ascii="Calibri" w:hAnsi="Calibri" w:cs="Calibri"/>
              </w:rPr>
              <w:t xml:space="preserve"> </w:t>
            </w:r>
            <w:r w:rsidRPr="00A31A09">
              <w:rPr>
                <w:rFonts w:ascii="Calibri" w:hAnsi="Calibri" w:cs="Calibri"/>
              </w:rPr>
              <w:t>Our core business is healthcare, washroom and floorcare hygiene, alongside our hygiene experts we have several specialist businesses meeting the needs of specific organisations. We innovate, design, and produce products that define the ultimate washroom experience</w:t>
            </w:r>
            <w:r w:rsidR="00504413">
              <w:rPr>
                <w:rFonts w:ascii="Calibri" w:hAnsi="Calibri" w:cs="Calibri"/>
              </w:rPr>
              <w:t>.</w:t>
            </w:r>
          </w:p>
        </w:tc>
      </w:tr>
      <w:tr w:rsidR="001F4B88" w:rsidRPr="00A31A09" w14:paraId="19CA0CE0" w14:textId="77777777" w:rsidTr="00764E7A">
        <w:trPr>
          <w:trHeight w:val="288"/>
        </w:trPr>
        <w:tc>
          <w:tcPr>
            <w:tcW w:w="10080" w:type="dxa"/>
            <w:shd w:val="clear" w:color="auto" w:fill="BFBFBF" w:themeFill="background1" w:themeFillShade="BF"/>
          </w:tcPr>
          <w:p w14:paraId="5C8C9F59" w14:textId="77777777" w:rsidR="001F4B88" w:rsidRPr="00A31A09" w:rsidRDefault="001F4B88" w:rsidP="00764E7A">
            <w:pPr>
              <w:tabs>
                <w:tab w:val="left" w:pos="7185"/>
              </w:tabs>
              <w:outlineLvl w:val="1"/>
              <w:rPr>
                <w:rFonts w:ascii="Calibri" w:eastAsia="Times New Roman" w:hAnsi="Calibri" w:cs="Calibri"/>
                <w:b/>
                <w:caps/>
                <w:color w:val="000000"/>
                <w:lang w:val="en-US"/>
              </w:rPr>
            </w:pPr>
            <w:r w:rsidRPr="00A31A09">
              <w:rPr>
                <w:rFonts w:ascii="Calibri" w:eastAsia="Times New Roman" w:hAnsi="Calibri" w:cs="Calibri"/>
                <w:b/>
                <w:caps/>
                <w:color w:val="000000"/>
                <w:lang w:val="en-US"/>
              </w:rPr>
              <w:t>General Description OF ROLE and RequirementS</w:t>
            </w:r>
          </w:p>
        </w:tc>
      </w:tr>
      <w:tr w:rsidR="001F4B88" w:rsidRPr="00A31A09" w14:paraId="7D8F4482" w14:textId="77777777" w:rsidTr="00B02111">
        <w:trPr>
          <w:trHeight w:val="2559"/>
        </w:trPr>
        <w:tc>
          <w:tcPr>
            <w:tcW w:w="10080" w:type="dxa"/>
          </w:tcPr>
          <w:p w14:paraId="14C8FC99" w14:textId="46EA68A3" w:rsidR="001F4B88" w:rsidRPr="00A31A09" w:rsidRDefault="00B31D20" w:rsidP="00764E7A">
            <w:pPr>
              <w:rPr>
                <w:rFonts w:ascii="Calibri" w:hAnsi="Calibri" w:cs="Calibri"/>
              </w:rPr>
            </w:pPr>
            <w:r w:rsidRPr="00EC2248">
              <w:rPr>
                <w:rFonts w:ascii="Calibri" w:hAnsi="Calibri" w:cs="Calibri"/>
              </w:rPr>
              <w:t>The General Counsel serves as the chief legal advisor to the organi</w:t>
            </w:r>
            <w:r>
              <w:rPr>
                <w:rFonts w:ascii="Calibri" w:hAnsi="Calibri" w:cs="Calibri"/>
              </w:rPr>
              <w:t>s</w:t>
            </w:r>
            <w:r w:rsidRPr="00EC2248">
              <w:rPr>
                <w:rFonts w:ascii="Calibri" w:hAnsi="Calibri" w:cs="Calibri"/>
              </w:rPr>
              <w:t>ation, overseeing all legal, regulatory, and compliance matters. In addition, this role leads the enterprise risk management strategy, ensuring the organi</w:t>
            </w:r>
            <w:r>
              <w:rPr>
                <w:rFonts w:ascii="Calibri" w:hAnsi="Calibri" w:cs="Calibri"/>
              </w:rPr>
              <w:t>s</w:t>
            </w:r>
            <w:r w:rsidRPr="00EC2248">
              <w:rPr>
                <w:rFonts w:ascii="Calibri" w:hAnsi="Calibri" w:cs="Calibri"/>
              </w:rPr>
              <w:t>ation operates within legal frameworks and proactively mitigates risks. The role is pivotal in safeguarding the company’s reputation, ensuring ethical governance, and supporting strategic decision-making.</w:t>
            </w:r>
            <w:r w:rsidR="007723C8">
              <w:t xml:space="preserve"> T</w:t>
            </w:r>
            <w:r w:rsidR="007723C8" w:rsidRPr="007723C8">
              <w:rPr>
                <w:rFonts w:ascii="Calibri" w:hAnsi="Calibri" w:cs="Calibri"/>
              </w:rPr>
              <w:t>he role also includes serving as a Pension Trustee, safeguarding the interests of pension scheme members and ensuring the scheme is managed in accordance with legal and fiduciary duties.</w:t>
            </w:r>
            <w:r w:rsidR="00A27524">
              <w:rPr>
                <w:rFonts w:ascii="Calibri" w:hAnsi="Calibri" w:cs="Calibri"/>
              </w:rPr>
              <w:t xml:space="preserve"> It also includes managing the annual insurance renewal process and </w:t>
            </w:r>
            <w:r w:rsidR="00E464F6">
              <w:rPr>
                <w:rFonts w:ascii="Calibri" w:hAnsi="Calibri" w:cs="Calibri"/>
              </w:rPr>
              <w:t xml:space="preserve">supporting </w:t>
            </w:r>
            <w:r w:rsidR="00A27524">
              <w:rPr>
                <w:rFonts w:ascii="Calibri" w:hAnsi="Calibri" w:cs="Calibri"/>
              </w:rPr>
              <w:t>Bidvest</w:t>
            </w:r>
            <w:r w:rsidR="00E464F6">
              <w:rPr>
                <w:rFonts w:ascii="Calibri" w:hAnsi="Calibri" w:cs="Calibri"/>
              </w:rPr>
              <w:t xml:space="preserve"> with various legal, CSR and ESG requirements</w:t>
            </w:r>
            <w:r w:rsidR="00A27524">
              <w:rPr>
                <w:rFonts w:ascii="Calibri" w:hAnsi="Calibri" w:cs="Calibri"/>
              </w:rPr>
              <w:t>.</w:t>
            </w:r>
          </w:p>
        </w:tc>
      </w:tr>
      <w:tr w:rsidR="001F4B88" w:rsidRPr="00A31A09" w14:paraId="5E84B4B0" w14:textId="77777777" w:rsidTr="00764E7A">
        <w:trPr>
          <w:trHeight w:val="241"/>
        </w:trPr>
        <w:tc>
          <w:tcPr>
            <w:tcW w:w="10080" w:type="dxa"/>
            <w:shd w:val="clear" w:color="auto" w:fill="BFBFBF" w:themeFill="background1" w:themeFillShade="BF"/>
          </w:tcPr>
          <w:p w14:paraId="7C442D24" w14:textId="77777777" w:rsidR="001F4B88" w:rsidRPr="00A31A09" w:rsidRDefault="001F4B88" w:rsidP="00764E7A">
            <w:pPr>
              <w:tabs>
                <w:tab w:val="left" w:pos="7185"/>
              </w:tabs>
              <w:outlineLvl w:val="1"/>
              <w:rPr>
                <w:rFonts w:ascii="Calibri" w:eastAsia="Times New Roman" w:hAnsi="Calibri" w:cs="Calibri"/>
                <w:b/>
                <w:caps/>
                <w:color w:val="000000"/>
                <w:lang w:val="en-US"/>
              </w:rPr>
            </w:pPr>
            <w:r w:rsidRPr="00A31A09">
              <w:rPr>
                <w:rFonts w:ascii="Calibri" w:eastAsia="Times New Roman" w:hAnsi="Calibri" w:cs="Calibri"/>
                <w:b/>
                <w:caps/>
                <w:color w:val="000000"/>
                <w:lang w:val="en-US"/>
              </w:rPr>
              <w:t>KEY RESPONSIBILITIES</w:t>
            </w:r>
          </w:p>
        </w:tc>
      </w:tr>
      <w:tr w:rsidR="001F4B88" w:rsidRPr="00A31A09" w14:paraId="3B78A6C7" w14:textId="77777777" w:rsidTr="00764E7A">
        <w:trPr>
          <w:trHeight w:val="983"/>
        </w:trPr>
        <w:tc>
          <w:tcPr>
            <w:tcW w:w="10080" w:type="dxa"/>
          </w:tcPr>
          <w:p w14:paraId="0C457C0C" w14:textId="4CD11862" w:rsidR="007244DC" w:rsidRPr="007244DC" w:rsidRDefault="007244DC" w:rsidP="007244DC">
            <w:pPr>
              <w:pStyle w:val="ListBullet"/>
              <w:numPr>
                <w:ilvl w:val="0"/>
                <w:numId w:val="0"/>
              </w:numPr>
              <w:ind w:left="360" w:hanging="360"/>
              <w:rPr>
                <w:rFonts w:ascii="Calibri" w:hAnsi="Calibri" w:cs="Calibri"/>
                <w:b/>
                <w:bCs/>
                <w:lang w:val="en-GB"/>
              </w:rPr>
            </w:pPr>
            <w:r w:rsidRPr="007244DC">
              <w:rPr>
                <w:rFonts w:ascii="Calibri" w:hAnsi="Calibri" w:cs="Calibri"/>
                <w:b/>
                <w:bCs/>
                <w:lang w:val="en-GB"/>
              </w:rPr>
              <w:t>Legal Leadership</w:t>
            </w:r>
          </w:p>
          <w:p w14:paraId="6B404F3E" w14:textId="0FAA76D8" w:rsidR="007244DC" w:rsidRPr="007244DC" w:rsidRDefault="007244DC" w:rsidP="007244DC">
            <w:pPr>
              <w:pStyle w:val="ListBullet"/>
              <w:numPr>
                <w:ilvl w:val="0"/>
                <w:numId w:val="6"/>
              </w:numPr>
              <w:rPr>
                <w:rFonts w:ascii="Calibri" w:hAnsi="Calibri" w:cs="Calibri"/>
                <w:lang w:val="en-GB"/>
              </w:rPr>
            </w:pPr>
            <w:r w:rsidRPr="007244DC">
              <w:rPr>
                <w:rFonts w:ascii="Calibri" w:hAnsi="Calibri" w:cs="Calibri"/>
                <w:lang w:val="en-GB"/>
              </w:rPr>
              <w:t xml:space="preserve">Provide expert legal advice to the executive </w:t>
            </w:r>
            <w:r w:rsidRPr="00B02111">
              <w:rPr>
                <w:rFonts w:ascii="Calibri" w:hAnsi="Calibri" w:cs="Calibri"/>
                <w:lang w:val="en-GB"/>
              </w:rPr>
              <w:t>team and board on corporate</w:t>
            </w:r>
            <w:r w:rsidRPr="007244DC">
              <w:rPr>
                <w:rFonts w:ascii="Calibri" w:hAnsi="Calibri" w:cs="Calibri"/>
                <w:lang w:val="en-GB"/>
              </w:rPr>
              <w:t>, commercial, and regulatory matters.</w:t>
            </w:r>
          </w:p>
          <w:p w14:paraId="1D2CFF27" w14:textId="77777777" w:rsidR="007244DC" w:rsidRPr="007244DC" w:rsidRDefault="007244DC" w:rsidP="007244DC">
            <w:pPr>
              <w:pStyle w:val="ListBullet"/>
              <w:numPr>
                <w:ilvl w:val="0"/>
                <w:numId w:val="6"/>
              </w:numPr>
              <w:rPr>
                <w:rFonts w:ascii="Calibri" w:hAnsi="Calibri" w:cs="Calibri"/>
                <w:lang w:val="en-GB"/>
              </w:rPr>
            </w:pPr>
            <w:r w:rsidRPr="007244DC">
              <w:rPr>
                <w:rFonts w:ascii="Calibri" w:hAnsi="Calibri" w:cs="Calibri"/>
                <w:lang w:val="en-GB"/>
              </w:rPr>
              <w:t>Draft, review, and negotiate contracts, agreements, and legal documents.</w:t>
            </w:r>
          </w:p>
          <w:p w14:paraId="624537EF" w14:textId="77777777" w:rsidR="007244DC" w:rsidRPr="007244DC" w:rsidRDefault="007244DC" w:rsidP="007244DC">
            <w:pPr>
              <w:pStyle w:val="ListBullet"/>
              <w:numPr>
                <w:ilvl w:val="0"/>
                <w:numId w:val="6"/>
              </w:numPr>
              <w:rPr>
                <w:rFonts w:ascii="Calibri" w:hAnsi="Calibri" w:cs="Calibri"/>
                <w:lang w:val="en-GB"/>
              </w:rPr>
            </w:pPr>
            <w:r w:rsidRPr="007244DC">
              <w:rPr>
                <w:rFonts w:ascii="Calibri" w:hAnsi="Calibri" w:cs="Calibri"/>
                <w:lang w:val="en-GB"/>
              </w:rPr>
              <w:t>Represent the company in legal proceedings and manage external counsel relationships.</w:t>
            </w:r>
          </w:p>
          <w:p w14:paraId="2464C471" w14:textId="77777777" w:rsidR="0057458F" w:rsidRPr="0057458F" w:rsidRDefault="007244DC" w:rsidP="00BA0AA0">
            <w:pPr>
              <w:pStyle w:val="ListBullet"/>
              <w:numPr>
                <w:ilvl w:val="0"/>
                <w:numId w:val="6"/>
              </w:numPr>
              <w:rPr>
                <w:rFonts w:ascii="Calibri" w:hAnsi="Calibri" w:cs="Calibri"/>
                <w:b/>
                <w:bCs/>
              </w:rPr>
            </w:pPr>
            <w:r w:rsidRPr="007244DC">
              <w:rPr>
                <w:rFonts w:ascii="Calibri" w:hAnsi="Calibri" w:cs="Calibri"/>
                <w:lang w:val="en-GB"/>
              </w:rPr>
              <w:t>Lead the legal department, setting objectives and managing performance.</w:t>
            </w:r>
            <w:r w:rsidR="00BA0AA0" w:rsidRPr="00EC2248">
              <w:rPr>
                <w:rFonts w:ascii="Segoe UI" w:eastAsia="Times New Roman" w:hAnsi="Segoe UI" w:cs="Segoe UI"/>
                <w:b/>
                <w:bCs/>
                <w:color w:val="424242"/>
                <w:sz w:val="27"/>
                <w:szCs w:val="27"/>
                <w:lang w:eastAsia="en-GB"/>
              </w:rPr>
              <w:t xml:space="preserve"> </w:t>
            </w:r>
          </w:p>
          <w:p w14:paraId="6491B777" w14:textId="4221C3E3" w:rsidR="00BA0AA0" w:rsidRPr="00EC2248" w:rsidRDefault="00BA0AA0" w:rsidP="0057458F">
            <w:pPr>
              <w:pStyle w:val="ListBullet"/>
              <w:numPr>
                <w:ilvl w:val="0"/>
                <w:numId w:val="0"/>
              </w:numPr>
              <w:ind w:left="360" w:hanging="360"/>
              <w:rPr>
                <w:rFonts w:ascii="Calibri" w:hAnsi="Calibri" w:cs="Calibri"/>
                <w:b/>
                <w:bCs/>
              </w:rPr>
            </w:pPr>
            <w:r w:rsidRPr="00EC2248">
              <w:rPr>
                <w:rFonts w:ascii="Calibri" w:hAnsi="Calibri" w:cs="Calibri"/>
                <w:b/>
                <w:bCs/>
              </w:rPr>
              <w:t>Risk Management</w:t>
            </w:r>
          </w:p>
          <w:p w14:paraId="453837A2" w14:textId="77777777" w:rsidR="00BA0AA0" w:rsidRPr="00BA0AA0" w:rsidRDefault="00BA0AA0" w:rsidP="00BA0AA0">
            <w:pPr>
              <w:pStyle w:val="ListBullet"/>
              <w:numPr>
                <w:ilvl w:val="0"/>
                <w:numId w:val="6"/>
              </w:numPr>
              <w:rPr>
                <w:rFonts w:ascii="Calibri" w:hAnsi="Calibri" w:cs="Calibri"/>
              </w:rPr>
            </w:pPr>
            <w:r w:rsidRPr="00BA0AA0">
              <w:rPr>
                <w:rFonts w:ascii="Calibri" w:hAnsi="Calibri" w:cs="Calibri"/>
              </w:rPr>
              <w:t>Develop and implement a comprehensive enterprise risk management framework.</w:t>
            </w:r>
          </w:p>
          <w:p w14:paraId="18BB0ECE" w14:textId="77777777" w:rsidR="00BA0AA0" w:rsidRPr="00BA0AA0" w:rsidRDefault="00BA0AA0" w:rsidP="00BA0AA0">
            <w:pPr>
              <w:pStyle w:val="ListBullet"/>
              <w:numPr>
                <w:ilvl w:val="0"/>
                <w:numId w:val="6"/>
              </w:numPr>
              <w:rPr>
                <w:rFonts w:ascii="Calibri" w:hAnsi="Calibri" w:cs="Calibri"/>
              </w:rPr>
            </w:pPr>
            <w:r w:rsidRPr="00BA0AA0">
              <w:rPr>
                <w:rFonts w:ascii="Calibri" w:hAnsi="Calibri" w:cs="Calibri"/>
              </w:rPr>
              <w:t>Identify, assess, and mitigate legal and operational risks across the business.</w:t>
            </w:r>
          </w:p>
          <w:p w14:paraId="5B33BD37" w14:textId="77777777" w:rsidR="00BA0AA0" w:rsidRPr="00BA0AA0" w:rsidRDefault="00BA0AA0" w:rsidP="00BA0AA0">
            <w:pPr>
              <w:pStyle w:val="ListBullet"/>
              <w:numPr>
                <w:ilvl w:val="0"/>
                <w:numId w:val="6"/>
              </w:numPr>
              <w:rPr>
                <w:rFonts w:ascii="Calibri" w:hAnsi="Calibri" w:cs="Calibri"/>
              </w:rPr>
            </w:pPr>
            <w:r w:rsidRPr="00BA0AA0">
              <w:rPr>
                <w:rFonts w:ascii="Calibri" w:hAnsi="Calibri" w:cs="Calibri"/>
              </w:rPr>
              <w:t>Advise on strategic decisions with potential legal or reputational impact.</w:t>
            </w:r>
          </w:p>
          <w:p w14:paraId="6AEED2A6" w14:textId="29BCFDD2" w:rsidR="00BA0AA0" w:rsidRPr="00BA0AA0" w:rsidRDefault="00BA0AA0" w:rsidP="00BA0AA0">
            <w:pPr>
              <w:pStyle w:val="ListBullet"/>
              <w:numPr>
                <w:ilvl w:val="0"/>
                <w:numId w:val="6"/>
              </w:numPr>
              <w:rPr>
                <w:rFonts w:ascii="Calibri" w:hAnsi="Calibri" w:cs="Calibri"/>
              </w:rPr>
            </w:pPr>
            <w:r w:rsidRPr="00BA0AA0">
              <w:rPr>
                <w:rFonts w:ascii="Calibri" w:hAnsi="Calibri" w:cs="Calibri"/>
              </w:rPr>
              <w:t>Monitor external factors (e.g. regulatory changes, litigation trends) that may affect risk exposure.</w:t>
            </w:r>
          </w:p>
          <w:p w14:paraId="67142B2E" w14:textId="77777777" w:rsidR="00BA0AA0" w:rsidRPr="00BA0AA0" w:rsidRDefault="00BA0AA0" w:rsidP="00BA0AA0">
            <w:pPr>
              <w:pStyle w:val="ListBullet"/>
              <w:numPr>
                <w:ilvl w:val="0"/>
                <w:numId w:val="0"/>
              </w:numPr>
              <w:ind w:left="360" w:hanging="360"/>
              <w:rPr>
                <w:rFonts w:ascii="Calibri" w:hAnsi="Calibri" w:cs="Calibri"/>
                <w:b/>
                <w:bCs/>
              </w:rPr>
            </w:pPr>
            <w:r w:rsidRPr="00BA0AA0">
              <w:rPr>
                <w:rFonts w:ascii="Calibri" w:hAnsi="Calibri" w:cs="Calibri"/>
                <w:b/>
                <w:bCs/>
              </w:rPr>
              <w:lastRenderedPageBreak/>
              <w:t>Compliance Oversight</w:t>
            </w:r>
          </w:p>
          <w:p w14:paraId="0BC96DBD" w14:textId="77777777" w:rsidR="00BA0AA0" w:rsidRPr="00BA0AA0" w:rsidRDefault="00BA0AA0" w:rsidP="00BA0AA0">
            <w:pPr>
              <w:pStyle w:val="ListBullet"/>
              <w:numPr>
                <w:ilvl w:val="0"/>
                <w:numId w:val="6"/>
              </w:numPr>
              <w:rPr>
                <w:rFonts w:ascii="Calibri" w:hAnsi="Calibri" w:cs="Calibri"/>
              </w:rPr>
            </w:pPr>
            <w:r w:rsidRPr="00BA0AA0">
              <w:rPr>
                <w:rFonts w:ascii="Calibri" w:hAnsi="Calibri" w:cs="Calibri"/>
              </w:rPr>
              <w:t>Ensure compliance with all applicable laws, regulations, and internal policies.</w:t>
            </w:r>
          </w:p>
          <w:p w14:paraId="49839FF6" w14:textId="77777777" w:rsidR="00BA0AA0" w:rsidRPr="00BA0AA0" w:rsidRDefault="00BA0AA0" w:rsidP="00BA0AA0">
            <w:pPr>
              <w:pStyle w:val="ListBullet"/>
              <w:numPr>
                <w:ilvl w:val="0"/>
                <w:numId w:val="6"/>
              </w:numPr>
              <w:rPr>
                <w:rFonts w:ascii="Calibri" w:hAnsi="Calibri" w:cs="Calibri"/>
              </w:rPr>
            </w:pPr>
            <w:r w:rsidRPr="00BA0AA0">
              <w:rPr>
                <w:rFonts w:ascii="Calibri" w:hAnsi="Calibri" w:cs="Calibri"/>
              </w:rPr>
              <w:t>Oversee regulatory reporting and audit readiness.</w:t>
            </w:r>
          </w:p>
          <w:p w14:paraId="599C71F6" w14:textId="77777777" w:rsidR="00BA0AA0" w:rsidRPr="00BA0AA0" w:rsidRDefault="00BA0AA0" w:rsidP="00BA0AA0">
            <w:pPr>
              <w:pStyle w:val="ListBullet"/>
              <w:numPr>
                <w:ilvl w:val="0"/>
                <w:numId w:val="6"/>
              </w:numPr>
              <w:rPr>
                <w:rFonts w:ascii="Calibri" w:hAnsi="Calibri" w:cs="Calibri"/>
              </w:rPr>
            </w:pPr>
            <w:r w:rsidRPr="00BA0AA0">
              <w:rPr>
                <w:rFonts w:ascii="Calibri" w:hAnsi="Calibri" w:cs="Calibri"/>
              </w:rPr>
              <w:t>Lead the development and implementation of compliance programs and training.</w:t>
            </w:r>
          </w:p>
          <w:p w14:paraId="61CCE326" w14:textId="77777777" w:rsidR="00BA0AA0" w:rsidRPr="00BA0AA0" w:rsidRDefault="00BA0AA0" w:rsidP="00BA0AA0">
            <w:pPr>
              <w:pStyle w:val="ListBullet"/>
              <w:numPr>
                <w:ilvl w:val="0"/>
                <w:numId w:val="6"/>
              </w:numPr>
              <w:rPr>
                <w:rFonts w:ascii="Calibri" w:hAnsi="Calibri" w:cs="Calibri"/>
              </w:rPr>
            </w:pPr>
            <w:r w:rsidRPr="00BA0AA0">
              <w:rPr>
                <w:rFonts w:ascii="Calibri" w:hAnsi="Calibri" w:cs="Calibri"/>
              </w:rPr>
              <w:t>Collaborate with internal stakeholders to embed a culture of compliance and ethical conduct.</w:t>
            </w:r>
          </w:p>
          <w:p w14:paraId="0C332185" w14:textId="77777777" w:rsidR="00BA0AA0" w:rsidRPr="00BA0AA0" w:rsidRDefault="00BA0AA0" w:rsidP="00BA0AA0">
            <w:pPr>
              <w:pStyle w:val="ListBullet"/>
              <w:numPr>
                <w:ilvl w:val="0"/>
                <w:numId w:val="0"/>
              </w:numPr>
              <w:ind w:left="360" w:hanging="360"/>
              <w:rPr>
                <w:rFonts w:ascii="Calibri" w:hAnsi="Calibri" w:cs="Calibri"/>
                <w:b/>
                <w:bCs/>
              </w:rPr>
            </w:pPr>
            <w:r w:rsidRPr="00BA0AA0">
              <w:rPr>
                <w:rFonts w:ascii="Calibri" w:hAnsi="Calibri" w:cs="Calibri"/>
                <w:b/>
                <w:bCs/>
              </w:rPr>
              <w:t>Governance</w:t>
            </w:r>
          </w:p>
          <w:p w14:paraId="20999055" w14:textId="136EC7DD" w:rsidR="00BA0AA0" w:rsidRPr="00BA0AA0" w:rsidRDefault="00BA0AA0" w:rsidP="00BA0AA0">
            <w:pPr>
              <w:pStyle w:val="ListBullet"/>
              <w:numPr>
                <w:ilvl w:val="0"/>
                <w:numId w:val="6"/>
              </w:numPr>
              <w:rPr>
                <w:rFonts w:ascii="Calibri" w:hAnsi="Calibri" w:cs="Calibri"/>
              </w:rPr>
            </w:pPr>
            <w:r w:rsidRPr="00BA0AA0">
              <w:rPr>
                <w:rFonts w:ascii="Calibri" w:hAnsi="Calibri" w:cs="Calibri"/>
              </w:rPr>
              <w:t xml:space="preserve">Support corporate governance </w:t>
            </w:r>
            <w:r w:rsidRPr="00B02111">
              <w:rPr>
                <w:rFonts w:ascii="Calibri" w:hAnsi="Calibri" w:cs="Calibri"/>
              </w:rPr>
              <w:t xml:space="preserve">processes, including board and </w:t>
            </w:r>
            <w:r w:rsidR="00E464F6" w:rsidRPr="00B02111">
              <w:rPr>
                <w:rFonts w:ascii="Calibri" w:hAnsi="Calibri" w:cs="Calibri"/>
              </w:rPr>
              <w:t xml:space="preserve">executive </w:t>
            </w:r>
            <w:r w:rsidRPr="00B02111">
              <w:rPr>
                <w:rFonts w:ascii="Calibri" w:hAnsi="Calibri" w:cs="Calibri"/>
              </w:rPr>
              <w:t>committee operations.</w:t>
            </w:r>
          </w:p>
          <w:p w14:paraId="3E42DC61" w14:textId="77777777" w:rsidR="00BA0AA0" w:rsidRPr="00BA0AA0" w:rsidRDefault="00BA0AA0" w:rsidP="00BA0AA0">
            <w:pPr>
              <w:pStyle w:val="ListBullet"/>
              <w:numPr>
                <w:ilvl w:val="0"/>
                <w:numId w:val="6"/>
              </w:numPr>
              <w:rPr>
                <w:rFonts w:ascii="Calibri" w:hAnsi="Calibri" w:cs="Calibri"/>
              </w:rPr>
            </w:pPr>
            <w:r w:rsidRPr="00BA0AA0">
              <w:rPr>
                <w:rFonts w:ascii="Calibri" w:hAnsi="Calibri" w:cs="Calibri"/>
              </w:rPr>
              <w:t>Maintain and update governance policies and procedures.</w:t>
            </w:r>
          </w:p>
          <w:p w14:paraId="11830B08" w14:textId="77777777" w:rsidR="001F4B88" w:rsidRDefault="00BA0AA0" w:rsidP="00BA0AA0">
            <w:pPr>
              <w:pStyle w:val="ListBullet"/>
              <w:numPr>
                <w:ilvl w:val="0"/>
                <w:numId w:val="6"/>
              </w:numPr>
              <w:rPr>
                <w:rFonts w:ascii="Calibri" w:hAnsi="Calibri" w:cs="Calibri"/>
              </w:rPr>
            </w:pPr>
            <w:r w:rsidRPr="00BA0AA0">
              <w:rPr>
                <w:rFonts w:ascii="Calibri" w:hAnsi="Calibri" w:cs="Calibri"/>
              </w:rPr>
              <w:t>Ensure transparency and accountability in decision-making and reporting.</w:t>
            </w:r>
          </w:p>
          <w:p w14:paraId="52696F26" w14:textId="3094689C" w:rsidR="00925BC4" w:rsidRPr="00925BC4" w:rsidRDefault="00925BC4" w:rsidP="00925BC4">
            <w:pPr>
              <w:pStyle w:val="ListBullet"/>
              <w:numPr>
                <w:ilvl w:val="0"/>
                <w:numId w:val="0"/>
              </w:numPr>
              <w:ind w:left="360" w:hanging="360"/>
              <w:rPr>
                <w:rFonts w:ascii="Calibri" w:hAnsi="Calibri" w:cs="Calibri"/>
                <w:b/>
                <w:bCs/>
              </w:rPr>
            </w:pPr>
            <w:r w:rsidRPr="00925BC4">
              <w:rPr>
                <w:rFonts w:ascii="Calibri" w:hAnsi="Calibri" w:cs="Calibri"/>
                <w:b/>
                <w:bCs/>
              </w:rPr>
              <w:t>Pension Trustee Duties</w:t>
            </w:r>
          </w:p>
          <w:p w14:paraId="31D9E0D1" w14:textId="77777777" w:rsidR="00925BC4" w:rsidRPr="00925BC4" w:rsidRDefault="00925BC4" w:rsidP="00925BC4">
            <w:pPr>
              <w:pStyle w:val="ListBullet"/>
              <w:rPr>
                <w:rFonts w:ascii="Calibri" w:hAnsi="Calibri" w:cs="Calibri"/>
              </w:rPr>
            </w:pPr>
            <w:r w:rsidRPr="00925BC4">
              <w:rPr>
                <w:rFonts w:ascii="Calibri" w:hAnsi="Calibri" w:cs="Calibri"/>
              </w:rPr>
              <w:t>Act as a Trustee for the company’s pension scheme, ensuring fiduciary responsibilities are met.</w:t>
            </w:r>
          </w:p>
          <w:p w14:paraId="0E928DDE" w14:textId="77777777" w:rsidR="00925BC4" w:rsidRPr="00B02111" w:rsidRDefault="00925BC4" w:rsidP="00925BC4">
            <w:pPr>
              <w:pStyle w:val="ListBullet"/>
              <w:rPr>
                <w:rFonts w:ascii="Calibri" w:hAnsi="Calibri" w:cs="Calibri"/>
              </w:rPr>
            </w:pPr>
            <w:r w:rsidRPr="00B02111">
              <w:rPr>
                <w:rFonts w:ascii="Calibri" w:hAnsi="Calibri" w:cs="Calibri"/>
              </w:rPr>
              <w:t>Oversee scheme governance, funding, and investment strategy.</w:t>
            </w:r>
          </w:p>
          <w:p w14:paraId="27592C41" w14:textId="77777777" w:rsidR="00925BC4" w:rsidRPr="00B02111" w:rsidRDefault="00925BC4" w:rsidP="00925BC4">
            <w:pPr>
              <w:pStyle w:val="ListBullet"/>
              <w:rPr>
                <w:rFonts w:ascii="Calibri" w:hAnsi="Calibri" w:cs="Calibri"/>
              </w:rPr>
            </w:pPr>
            <w:r w:rsidRPr="00B02111">
              <w:rPr>
                <w:rFonts w:ascii="Calibri" w:hAnsi="Calibri" w:cs="Calibri"/>
              </w:rPr>
              <w:t>Collaborate with scheme advisors, actuaries, and administrators.</w:t>
            </w:r>
          </w:p>
          <w:p w14:paraId="01EB7A76" w14:textId="77777777" w:rsidR="00925BC4" w:rsidRDefault="00925BC4" w:rsidP="00925BC4">
            <w:pPr>
              <w:pStyle w:val="ListBullet"/>
              <w:rPr>
                <w:rFonts w:ascii="Calibri" w:hAnsi="Calibri" w:cs="Calibri"/>
              </w:rPr>
            </w:pPr>
            <w:r w:rsidRPr="00925BC4">
              <w:rPr>
                <w:rFonts w:ascii="Calibri" w:hAnsi="Calibri" w:cs="Calibri"/>
              </w:rPr>
              <w:t>Ensure compliance with pension legislation and regulatory requirements.</w:t>
            </w:r>
          </w:p>
          <w:p w14:paraId="676732D2" w14:textId="77777777" w:rsidR="0057458F" w:rsidRDefault="00925BC4" w:rsidP="00925BC4">
            <w:pPr>
              <w:pStyle w:val="ListBullet"/>
              <w:rPr>
                <w:rFonts w:ascii="Calibri" w:hAnsi="Calibri" w:cs="Calibri"/>
              </w:rPr>
            </w:pPr>
            <w:r w:rsidRPr="00925BC4">
              <w:rPr>
                <w:rFonts w:ascii="Calibri" w:hAnsi="Calibri" w:cs="Calibri"/>
              </w:rPr>
              <w:t>Represent member interests and ensure fair treatment and communication.</w:t>
            </w:r>
          </w:p>
          <w:p w14:paraId="3D482CC2" w14:textId="77777777" w:rsidR="00E464F6" w:rsidRDefault="00A27524" w:rsidP="00A27524">
            <w:pPr>
              <w:pStyle w:val="ListBullet"/>
              <w:numPr>
                <w:ilvl w:val="0"/>
                <w:numId w:val="0"/>
              </w:numPr>
              <w:rPr>
                <w:rFonts w:ascii="Calibri" w:hAnsi="Calibri" w:cs="Calibri"/>
                <w:b/>
                <w:bCs/>
              </w:rPr>
            </w:pPr>
            <w:r w:rsidRPr="00B02111">
              <w:rPr>
                <w:rFonts w:ascii="Calibri" w:hAnsi="Calibri" w:cs="Calibri"/>
                <w:b/>
                <w:bCs/>
              </w:rPr>
              <w:t xml:space="preserve">Insurance </w:t>
            </w:r>
            <w:r w:rsidR="00E464F6">
              <w:rPr>
                <w:rFonts w:ascii="Calibri" w:hAnsi="Calibri" w:cs="Calibri"/>
                <w:b/>
                <w:bCs/>
              </w:rPr>
              <w:t>duties</w:t>
            </w:r>
          </w:p>
          <w:p w14:paraId="3619991F" w14:textId="0E938F4C" w:rsidR="00E464F6" w:rsidRPr="00B02111" w:rsidRDefault="00E464F6" w:rsidP="00E464F6">
            <w:pPr>
              <w:pStyle w:val="ListBullet"/>
              <w:numPr>
                <w:ilvl w:val="0"/>
                <w:numId w:val="14"/>
              </w:numPr>
              <w:rPr>
                <w:rFonts w:ascii="Calibri" w:hAnsi="Calibri" w:cs="Calibri"/>
              </w:rPr>
            </w:pPr>
            <w:r w:rsidRPr="00B02111">
              <w:rPr>
                <w:rFonts w:ascii="Calibri" w:hAnsi="Calibri" w:cs="Calibri"/>
              </w:rPr>
              <w:t>Oversee and manage the insurance requirements for the Group</w:t>
            </w:r>
          </w:p>
          <w:p w14:paraId="4905DE96" w14:textId="031D5A69" w:rsidR="00E464F6" w:rsidRPr="00B02111" w:rsidRDefault="00E464F6" w:rsidP="00E464F6">
            <w:pPr>
              <w:pStyle w:val="ListBullet"/>
              <w:numPr>
                <w:ilvl w:val="0"/>
                <w:numId w:val="14"/>
              </w:numPr>
              <w:rPr>
                <w:rFonts w:ascii="Calibri" w:hAnsi="Calibri" w:cs="Calibri"/>
              </w:rPr>
            </w:pPr>
            <w:r w:rsidRPr="00B02111">
              <w:rPr>
                <w:rFonts w:ascii="Calibri" w:hAnsi="Calibri" w:cs="Calibri"/>
              </w:rPr>
              <w:t>Liaise with Bidvest and insurance brokers within the UK and South Africa</w:t>
            </w:r>
          </w:p>
          <w:p w14:paraId="4FDA69A4" w14:textId="77777777" w:rsidR="00E464F6" w:rsidRPr="00B02111" w:rsidRDefault="00E464F6" w:rsidP="00E464F6">
            <w:pPr>
              <w:pStyle w:val="ListBullet"/>
              <w:numPr>
                <w:ilvl w:val="0"/>
                <w:numId w:val="14"/>
              </w:numPr>
              <w:rPr>
                <w:rFonts w:ascii="Calibri" w:hAnsi="Calibri" w:cs="Calibri"/>
              </w:rPr>
            </w:pPr>
            <w:r w:rsidRPr="00B02111">
              <w:rPr>
                <w:rFonts w:ascii="Calibri" w:hAnsi="Calibri" w:cs="Calibri"/>
              </w:rPr>
              <w:t>Ensure adequate insurance cover is in place across the Group</w:t>
            </w:r>
          </w:p>
          <w:p w14:paraId="31488DB3" w14:textId="77777777" w:rsidR="00E464F6" w:rsidRPr="00B02111" w:rsidRDefault="00E464F6" w:rsidP="00E464F6">
            <w:pPr>
              <w:pStyle w:val="ListBullet"/>
              <w:numPr>
                <w:ilvl w:val="0"/>
                <w:numId w:val="14"/>
              </w:numPr>
              <w:rPr>
                <w:rFonts w:ascii="Calibri" w:hAnsi="Calibri" w:cs="Calibri"/>
              </w:rPr>
            </w:pPr>
            <w:r w:rsidRPr="00B02111">
              <w:rPr>
                <w:rFonts w:ascii="Calibri" w:hAnsi="Calibri" w:cs="Calibri"/>
              </w:rPr>
              <w:t>Participate in quarterly insurance reviews and provide advice on larger claims</w:t>
            </w:r>
          </w:p>
          <w:p w14:paraId="17BD841F" w14:textId="077E8D70" w:rsidR="00E464F6" w:rsidRDefault="00E464F6">
            <w:pPr>
              <w:pStyle w:val="ListBullet"/>
              <w:numPr>
                <w:ilvl w:val="0"/>
                <w:numId w:val="0"/>
              </w:numPr>
              <w:rPr>
                <w:rFonts w:ascii="Calibri" w:hAnsi="Calibri" w:cs="Calibri"/>
                <w:b/>
                <w:bCs/>
              </w:rPr>
            </w:pPr>
            <w:r>
              <w:rPr>
                <w:rFonts w:ascii="Calibri" w:hAnsi="Calibri" w:cs="Calibri"/>
                <w:b/>
                <w:bCs/>
              </w:rPr>
              <w:t>Other duties</w:t>
            </w:r>
          </w:p>
          <w:p w14:paraId="622B3BE7" w14:textId="77777777" w:rsidR="00E464F6" w:rsidRPr="00B02111" w:rsidRDefault="00E464F6" w:rsidP="00E464F6">
            <w:pPr>
              <w:pStyle w:val="ListBullet"/>
              <w:numPr>
                <w:ilvl w:val="0"/>
                <w:numId w:val="15"/>
              </w:numPr>
              <w:rPr>
                <w:rFonts w:ascii="Calibri" w:hAnsi="Calibri" w:cs="Calibri"/>
              </w:rPr>
            </w:pPr>
            <w:r w:rsidRPr="00B02111">
              <w:rPr>
                <w:rFonts w:ascii="Calibri" w:hAnsi="Calibri" w:cs="Calibri"/>
              </w:rPr>
              <w:t>Support CSR/ESG requirements</w:t>
            </w:r>
          </w:p>
          <w:p w14:paraId="6BE1229E" w14:textId="77777777" w:rsidR="00E464F6" w:rsidRPr="00B02111" w:rsidRDefault="00952025" w:rsidP="00952025">
            <w:pPr>
              <w:pStyle w:val="ListBullet"/>
              <w:numPr>
                <w:ilvl w:val="0"/>
                <w:numId w:val="15"/>
              </w:numPr>
              <w:rPr>
                <w:rFonts w:ascii="Calibri" w:hAnsi="Calibri" w:cs="Calibri"/>
              </w:rPr>
            </w:pPr>
            <w:r w:rsidRPr="00B02111">
              <w:rPr>
                <w:rFonts w:ascii="Calibri" w:hAnsi="Calibri" w:cs="Calibri"/>
              </w:rPr>
              <w:t>Appointed as Company Secretary and support company secretarial activities</w:t>
            </w:r>
          </w:p>
          <w:p w14:paraId="202AF344" w14:textId="77777777" w:rsidR="00952025" w:rsidRPr="00B02111" w:rsidRDefault="00952025" w:rsidP="00952025">
            <w:pPr>
              <w:pStyle w:val="ListBullet"/>
              <w:numPr>
                <w:ilvl w:val="0"/>
                <w:numId w:val="15"/>
              </w:numPr>
              <w:rPr>
                <w:rFonts w:ascii="Calibri" w:hAnsi="Calibri" w:cs="Calibri"/>
              </w:rPr>
            </w:pPr>
            <w:r w:rsidRPr="00B02111">
              <w:rPr>
                <w:rFonts w:ascii="Calibri" w:hAnsi="Calibri" w:cs="Calibri"/>
              </w:rPr>
              <w:t>Attend the Audit Committee and provide input in to audit committee returns</w:t>
            </w:r>
          </w:p>
          <w:p w14:paraId="5BB7F681" w14:textId="6025C245" w:rsidR="00952025" w:rsidRPr="00B02111" w:rsidRDefault="00952025" w:rsidP="00B02111">
            <w:pPr>
              <w:pStyle w:val="ListBullet"/>
              <w:numPr>
                <w:ilvl w:val="0"/>
                <w:numId w:val="15"/>
              </w:numPr>
              <w:rPr>
                <w:rFonts w:ascii="Calibri" w:hAnsi="Calibri" w:cs="Calibri"/>
                <w:b/>
                <w:bCs/>
              </w:rPr>
            </w:pPr>
            <w:r w:rsidRPr="00B02111">
              <w:rPr>
                <w:rFonts w:ascii="Calibri" w:hAnsi="Calibri" w:cs="Calibri"/>
              </w:rPr>
              <w:t>Support CFO in banking administration activities</w:t>
            </w:r>
          </w:p>
        </w:tc>
      </w:tr>
    </w:tbl>
    <w:p w14:paraId="1EA2FA0F" w14:textId="77777777" w:rsidR="001F4B88" w:rsidRPr="00A31A09" w:rsidRDefault="001F4B88" w:rsidP="001F4B88">
      <w:pPr>
        <w:spacing w:after="0" w:line="240" w:lineRule="auto"/>
        <w:rPr>
          <w:rFonts w:ascii="Calibri" w:eastAsia="Times New Roman" w:hAnsi="Calibri" w:cs="Calibri"/>
          <w:lang w:val="en-AU"/>
        </w:rPr>
      </w:pPr>
    </w:p>
    <w:tbl>
      <w:tblPr>
        <w:tblStyle w:val="TableGrid"/>
        <w:tblW w:w="10080" w:type="dxa"/>
        <w:tblLayout w:type="fixed"/>
        <w:tblLook w:val="0000" w:firstRow="0" w:lastRow="0" w:firstColumn="0" w:lastColumn="0" w:noHBand="0" w:noVBand="0"/>
      </w:tblPr>
      <w:tblGrid>
        <w:gridCol w:w="10080"/>
      </w:tblGrid>
      <w:tr w:rsidR="001F4B88" w:rsidRPr="00A31A09" w14:paraId="2C92289B" w14:textId="77777777" w:rsidTr="00764E7A">
        <w:trPr>
          <w:trHeight w:val="1440"/>
        </w:trPr>
        <w:tc>
          <w:tcPr>
            <w:tcW w:w="10080" w:type="dxa"/>
          </w:tcPr>
          <w:tbl>
            <w:tblPr>
              <w:tblStyle w:val="TableGrid"/>
              <w:tblW w:w="10080" w:type="dxa"/>
              <w:tblLayout w:type="fixed"/>
              <w:tblLook w:val="0000" w:firstRow="0" w:lastRow="0" w:firstColumn="0" w:lastColumn="0" w:noHBand="0" w:noVBand="0"/>
            </w:tblPr>
            <w:tblGrid>
              <w:gridCol w:w="10080"/>
            </w:tblGrid>
            <w:tr w:rsidR="00B02111" w:rsidRPr="00A31A09" w14:paraId="23D39EAD" w14:textId="77777777" w:rsidTr="00691971">
              <w:trPr>
                <w:trHeight w:val="288"/>
              </w:trPr>
              <w:tc>
                <w:tcPr>
                  <w:tcW w:w="10080" w:type="dxa"/>
                  <w:shd w:val="clear" w:color="auto" w:fill="BFBFBF" w:themeFill="background1" w:themeFillShade="BF"/>
                </w:tcPr>
                <w:p w14:paraId="1FE15DAE" w14:textId="77777777" w:rsidR="00B02111" w:rsidRPr="00A31A09" w:rsidRDefault="00B02111" w:rsidP="00B02111">
                  <w:pPr>
                    <w:tabs>
                      <w:tab w:val="left" w:pos="7185"/>
                    </w:tabs>
                    <w:outlineLvl w:val="1"/>
                    <w:rPr>
                      <w:rFonts w:ascii="Calibri" w:eastAsia="Times New Roman" w:hAnsi="Calibri" w:cs="Calibri"/>
                      <w:b/>
                      <w:color w:val="000000"/>
                      <w:lang w:val="en-US"/>
                    </w:rPr>
                  </w:pPr>
                  <w:r w:rsidRPr="00A31A09">
                    <w:rPr>
                      <w:rFonts w:ascii="Calibri" w:eastAsia="Times New Roman" w:hAnsi="Calibri" w:cs="Calibri"/>
                      <w:b/>
                      <w:color w:val="000000"/>
                      <w:lang w:val="en-US"/>
                    </w:rPr>
                    <w:t>Critical Competencies for Success</w:t>
                  </w:r>
                </w:p>
              </w:tc>
            </w:tr>
            <w:tr w:rsidR="00B02111" w:rsidRPr="00A31A09" w14:paraId="7154B82D" w14:textId="77777777" w:rsidTr="00691971">
              <w:trPr>
                <w:trHeight w:val="1440"/>
              </w:trPr>
              <w:tc>
                <w:tcPr>
                  <w:tcW w:w="10080" w:type="dxa"/>
                </w:tcPr>
                <w:p w14:paraId="087B0ABF" w14:textId="77777777" w:rsidR="00B02111" w:rsidRPr="00EA6C02" w:rsidRDefault="00B02111" w:rsidP="00B02111">
                  <w:pPr>
                    <w:pStyle w:val="Heading3"/>
                    <w:rPr>
                      <w:rFonts w:ascii="Calibri" w:hAnsi="Calibri" w:cs="Calibri"/>
                      <w:b/>
                      <w:bCs/>
                      <w:color w:val="auto"/>
                      <w:sz w:val="22"/>
                      <w:szCs w:val="22"/>
                    </w:rPr>
                  </w:pPr>
                  <w:r w:rsidRPr="00EA6C02">
                    <w:rPr>
                      <w:rFonts w:ascii="Calibri" w:hAnsi="Calibri" w:cs="Calibri"/>
                      <w:b/>
                      <w:bCs/>
                      <w:color w:val="auto"/>
                      <w:sz w:val="22"/>
                      <w:szCs w:val="22"/>
                    </w:rPr>
                    <w:t>Qualifications &amp; Experience:</w:t>
                  </w:r>
                </w:p>
                <w:p w14:paraId="73580831" w14:textId="77777777" w:rsidR="00B02111" w:rsidRPr="00B02111" w:rsidRDefault="00B02111" w:rsidP="00B02111">
                  <w:pPr>
                    <w:pStyle w:val="Heading3"/>
                    <w:numPr>
                      <w:ilvl w:val="0"/>
                      <w:numId w:val="13"/>
                    </w:numPr>
                    <w:spacing w:line="240" w:lineRule="auto"/>
                    <w:rPr>
                      <w:rFonts w:ascii="Calibri" w:hAnsi="Calibri" w:cs="Calibri"/>
                      <w:color w:val="auto"/>
                      <w:sz w:val="22"/>
                      <w:szCs w:val="22"/>
                    </w:rPr>
                  </w:pPr>
                  <w:r w:rsidRPr="00B02111">
                    <w:rPr>
                      <w:rFonts w:ascii="Calibri" w:hAnsi="Calibri" w:cs="Calibri"/>
                      <w:color w:val="auto"/>
                      <w:sz w:val="22"/>
                      <w:szCs w:val="22"/>
                    </w:rPr>
                    <w:t>Qualified solicitor  with a current practicing certificate.</w:t>
                  </w:r>
                </w:p>
                <w:p w14:paraId="133F3298" w14:textId="77777777" w:rsidR="00B02111" w:rsidRPr="00B02111" w:rsidRDefault="00B02111" w:rsidP="00B02111">
                  <w:pPr>
                    <w:pStyle w:val="Heading3"/>
                    <w:numPr>
                      <w:ilvl w:val="0"/>
                      <w:numId w:val="13"/>
                    </w:numPr>
                    <w:spacing w:line="240" w:lineRule="auto"/>
                    <w:rPr>
                      <w:rFonts w:ascii="Calibri" w:hAnsi="Calibri" w:cs="Calibri"/>
                      <w:color w:val="auto"/>
                      <w:sz w:val="22"/>
                      <w:szCs w:val="22"/>
                    </w:rPr>
                  </w:pPr>
                  <w:r w:rsidRPr="00B02111">
                    <w:rPr>
                      <w:rFonts w:ascii="Calibri" w:hAnsi="Calibri" w:cs="Calibri"/>
                      <w:color w:val="auto"/>
                      <w:sz w:val="22"/>
                      <w:szCs w:val="22"/>
                    </w:rPr>
                    <w:t>Extensive experience in corporate legal practice, risk, and compliance.</w:t>
                  </w:r>
                </w:p>
                <w:p w14:paraId="7A84AF2E" w14:textId="77777777" w:rsidR="00B02111" w:rsidRPr="00B02111" w:rsidRDefault="00B02111" w:rsidP="00B02111">
                  <w:pPr>
                    <w:pStyle w:val="Heading3"/>
                    <w:numPr>
                      <w:ilvl w:val="0"/>
                      <w:numId w:val="13"/>
                    </w:numPr>
                    <w:spacing w:before="0" w:line="240" w:lineRule="auto"/>
                    <w:rPr>
                      <w:rFonts w:ascii="Calibri" w:hAnsi="Calibri" w:cs="Calibri"/>
                      <w:color w:val="auto"/>
                      <w:sz w:val="22"/>
                      <w:szCs w:val="22"/>
                    </w:rPr>
                  </w:pPr>
                  <w:r w:rsidRPr="00B02111">
                    <w:rPr>
                      <w:rFonts w:ascii="Calibri" w:hAnsi="Calibri" w:cs="Calibri"/>
                      <w:color w:val="auto"/>
                      <w:sz w:val="22"/>
                      <w:szCs w:val="22"/>
                    </w:rPr>
                    <w:t>Minimum 10 years’ experience in corporate legal practice, including leadership roles.</w:t>
                  </w:r>
                </w:p>
                <w:p w14:paraId="4F41803B" w14:textId="77777777" w:rsidR="00B02111" w:rsidRPr="00B02111" w:rsidRDefault="00B02111" w:rsidP="00B02111">
                  <w:pPr>
                    <w:pStyle w:val="Heading3"/>
                    <w:numPr>
                      <w:ilvl w:val="0"/>
                      <w:numId w:val="13"/>
                    </w:numPr>
                    <w:spacing w:before="0" w:line="240" w:lineRule="auto"/>
                    <w:rPr>
                      <w:rFonts w:ascii="Calibri" w:hAnsi="Calibri" w:cs="Calibri"/>
                      <w:color w:val="auto"/>
                      <w:sz w:val="22"/>
                      <w:szCs w:val="22"/>
                    </w:rPr>
                  </w:pPr>
                  <w:r w:rsidRPr="00B02111">
                    <w:rPr>
                      <w:rFonts w:ascii="Calibri" w:hAnsi="Calibri" w:cs="Calibri"/>
                      <w:color w:val="auto"/>
                      <w:sz w:val="22"/>
                      <w:szCs w:val="22"/>
                    </w:rPr>
                    <w:t>Proven experience in risk management and regulatory compliance.</w:t>
                  </w:r>
                </w:p>
                <w:p w14:paraId="1EE12F7A" w14:textId="77777777" w:rsidR="00B02111" w:rsidRDefault="00B02111" w:rsidP="00B02111">
                  <w:pPr>
                    <w:pStyle w:val="Heading3"/>
                    <w:numPr>
                      <w:ilvl w:val="0"/>
                      <w:numId w:val="13"/>
                    </w:numPr>
                    <w:spacing w:before="0" w:line="240" w:lineRule="auto"/>
                    <w:rPr>
                      <w:rFonts w:ascii="Calibri" w:hAnsi="Calibri" w:cs="Calibri"/>
                      <w:color w:val="auto"/>
                      <w:sz w:val="22"/>
                      <w:szCs w:val="22"/>
                    </w:rPr>
                  </w:pPr>
                  <w:r w:rsidRPr="00EA6C02">
                    <w:rPr>
                      <w:rFonts w:ascii="Calibri" w:hAnsi="Calibri" w:cs="Calibri"/>
                      <w:color w:val="auto"/>
                      <w:sz w:val="22"/>
                      <w:szCs w:val="22"/>
                    </w:rPr>
                    <w:t>Strong understanding of corporate governance frameworks.</w:t>
                  </w:r>
                </w:p>
                <w:p w14:paraId="3FE71F35" w14:textId="77777777" w:rsidR="00B02111" w:rsidRDefault="00B02111" w:rsidP="00B02111">
                  <w:pPr>
                    <w:numPr>
                      <w:ilvl w:val="0"/>
                      <w:numId w:val="13"/>
                    </w:numPr>
                    <w:spacing w:line="240" w:lineRule="auto"/>
                  </w:pPr>
                  <w:r w:rsidRPr="00174760">
                    <w:t>Understanding of trustee duties and pension regulatory frameworks</w:t>
                  </w:r>
                </w:p>
                <w:p w14:paraId="20A4FD76" w14:textId="77777777" w:rsidR="00B02111" w:rsidRDefault="00B02111" w:rsidP="00B02111">
                  <w:pPr>
                    <w:numPr>
                      <w:ilvl w:val="0"/>
                      <w:numId w:val="13"/>
                    </w:numPr>
                    <w:spacing w:line="240" w:lineRule="auto"/>
                  </w:pPr>
                  <w:r>
                    <w:t>Experience of managing a small team of professional colleagues</w:t>
                  </w:r>
                </w:p>
                <w:p w14:paraId="749C5D19" w14:textId="77777777" w:rsidR="00B02111" w:rsidRDefault="00B02111" w:rsidP="00B02111">
                  <w:pPr>
                    <w:numPr>
                      <w:ilvl w:val="0"/>
                      <w:numId w:val="13"/>
                    </w:numPr>
                    <w:spacing w:line="240" w:lineRule="auto"/>
                  </w:pPr>
                  <w:r>
                    <w:t>Experience of managing Corporate Insurance policies and their renewals (desirable)</w:t>
                  </w:r>
                </w:p>
                <w:p w14:paraId="2DAC81FE" w14:textId="77777777" w:rsidR="00B02111" w:rsidRDefault="00B02111" w:rsidP="00B02111">
                  <w:pPr>
                    <w:numPr>
                      <w:ilvl w:val="0"/>
                      <w:numId w:val="13"/>
                    </w:numPr>
                    <w:spacing w:line="240" w:lineRule="auto"/>
                  </w:pPr>
                  <w:r w:rsidRPr="00174760">
                    <w:t>Prior experience or training in pension scheme governance (desirable).</w:t>
                  </w:r>
                </w:p>
                <w:p w14:paraId="4E03B521" w14:textId="77777777" w:rsidR="00B02111" w:rsidRPr="00A31A09" w:rsidRDefault="00B02111" w:rsidP="00B02111">
                  <w:pPr>
                    <w:pStyle w:val="Heading3"/>
                    <w:rPr>
                      <w:rFonts w:ascii="Calibri" w:hAnsi="Calibri" w:cs="Calibri"/>
                      <w:b/>
                      <w:bCs/>
                      <w:color w:val="auto"/>
                      <w:sz w:val="22"/>
                      <w:szCs w:val="22"/>
                    </w:rPr>
                  </w:pPr>
                  <w:r w:rsidRPr="00A31A09">
                    <w:rPr>
                      <w:rFonts w:ascii="Calibri" w:hAnsi="Calibri" w:cs="Calibri"/>
                      <w:b/>
                      <w:bCs/>
                      <w:color w:val="auto"/>
                      <w:sz w:val="22"/>
                      <w:szCs w:val="22"/>
                    </w:rPr>
                    <w:lastRenderedPageBreak/>
                    <w:t>Personal Characteristics</w:t>
                  </w:r>
                </w:p>
                <w:p w14:paraId="7F48943E" w14:textId="77777777" w:rsidR="00B02111" w:rsidRPr="00A31A09" w:rsidRDefault="00B02111" w:rsidP="00B02111">
                  <w:pPr>
                    <w:pStyle w:val="ListBullet"/>
                    <w:rPr>
                      <w:rFonts w:ascii="Calibri" w:hAnsi="Calibri" w:cs="Calibri"/>
                    </w:rPr>
                  </w:pPr>
                  <w:r w:rsidRPr="00A31A09">
                    <w:rPr>
                      <w:rFonts w:ascii="Calibri" w:hAnsi="Calibri" w:cs="Calibri"/>
                    </w:rPr>
                    <w:t>Results-driven and resilient under pressure.</w:t>
                  </w:r>
                </w:p>
                <w:p w14:paraId="1E6C05E3" w14:textId="77777777" w:rsidR="00B02111" w:rsidRPr="00A31A09" w:rsidRDefault="00B02111" w:rsidP="00B02111">
                  <w:pPr>
                    <w:pStyle w:val="ListBullet"/>
                    <w:rPr>
                      <w:rFonts w:ascii="Calibri" w:hAnsi="Calibri" w:cs="Calibri"/>
                    </w:rPr>
                  </w:pPr>
                  <w:r w:rsidRPr="00A31A09">
                    <w:rPr>
                      <w:rFonts w:ascii="Calibri" w:hAnsi="Calibri" w:cs="Calibri"/>
                    </w:rPr>
                    <w:t>Customer-centric with a focus on quality and service delivery.</w:t>
                  </w:r>
                </w:p>
                <w:p w14:paraId="312A9694" w14:textId="77777777" w:rsidR="00B02111" w:rsidRDefault="00B02111" w:rsidP="00B02111">
                  <w:pPr>
                    <w:pStyle w:val="ListBullet"/>
                    <w:rPr>
                      <w:rFonts w:ascii="Calibri" w:hAnsi="Calibri" w:cs="Calibri"/>
                    </w:rPr>
                  </w:pPr>
                  <w:r w:rsidRPr="00A31A09">
                    <w:rPr>
                      <w:rFonts w:ascii="Calibri" w:hAnsi="Calibri" w:cs="Calibri"/>
                    </w:rPr>
                    <w:t>Innovative and adaptable to market changes.</w:t>
                  </w:r>
                </w:p>
                <w:p w14:paraId="49DF7FAF" w14:textId="77777777" w:rsidR="00B02111" w:rsidRPr="0068693B" w:rsidRDefault="00B02111" w:rsidP="00B02111">
                  <w:pPr>
                    <w:pStyle w:val="ListBullet"/>
                    <w:rPr>
                      <w:rFonts w:ascii="Calibri" w:hAnsi="Calibri" w:cs="Calibri"/>
                    </w:rPr>
                  </w:pPr>
                  <w:r w:rsidRPr="0068693B">
                    <w:rPr>
                      <w:rFonts w:ascii="Calibri" w:hAnsi="Calibri" w:cs="Calibri"/>
                    </w:rPr>
                    <w:t>Strategic thinker with strong analytical and problem-solving skills.</w:t>
                  </w:r>
                </w:p>
                <w:p w14:paraId="1E324733" w14:textId="77777777" w:rsidR="00B02111" w:rsidRPr="0068693B" w:rsidRDefault="00B02111" w:rsidP="00B02111">
                  <w:pPr>
                    <w:pStyle w:val="ListBullet"/>
                    <w:rPr>
                      <w:rFonts w:ascii="Calibri" w:hAnsi="Calibri" w:cs="Calibri"/>
                    </w:rPr>
                  </w:pPr>
                  <w:r w:rsidRPr="0068693B">
                    <w:rPr>
                      <w:rFonts w:ascii="Calibri" w:hAnsi="Calibri" w:cs="Calibri"/>
                    </w:rPr>
                    <w:t>Excellent communication and negotiation abilities.</w:t>
                  </w:r>
                </w:p>
                <w:p w14:paraId="09E23537" w14:textId="77777777" w:rsidR="00B02111" w:rsidRPr="0068693B" w:rsidRDefault="00B02111" w:rsidP="00B02111">
                  <w:pPr>
                    <w:pStyle w:val="ListBullet"/>
                    <w:rPr>
                      <w:rFonts w:ascii="Calibri" w:hAnsi="Calibri" w:cs="Calibri"/>
                    </w:rPr>
                  </w:pPr>
                  <w:r w:rsidRPr="0068693B">
                    <w:rPr>
                      <w:rFonts w:ascii="Calibri" w:hAnsi="Calibri" w:cs="Calibri"/>
                    </w:rPr>
                    <w:t>High ethical standards and professional integrity.</w:t>
                  </w:r>
                </w:p>
                <w:p w14:paraId="46202F9C" w14:textId="77777777" w:rsidR="00B02111" w:rsidRPr="0068693B" w:rsidRDefault="00B02111" w:rsidP="00B02111">
                  <w:pPr>
                    <w:pStyle w:val="ListBullet"/>
                    <w:rPr>
                      <w:rFonts w:ascii="Calibri" w:hAnsi="Calibri" w:cs="Calibri"/>
                    </w:rPr>
                  </w:pPr>
                  <w:r w:rsidRPr="0068693B">
                    <w:rPr>
                      <w:rFonts w:ascii="Calibri" w:hAnsi="Calibri" w:cs="Calibri"/>
                    </w:rPr>
                    <w:t>Ability to manage complex legal</w:t>
                  </w:r>
                  <w:r>
                    <w:rPr>
                      <w:rFonts w:ascii="Calibri" w:hAnsi="Calibri" w:cs="Calibri"/>
                    </w:rPr>
                    <w:t xml:space="preserve">, </w:t>
                  </w:r>
                  <w:r w:rsidRPr="0068693B">
                    <w:rPr>
                      <w:rFonts w:ascii="Calibri" w:hAnsi="Calibri" w:cs="Calibri"/>
                    </w:rPr>
                    <w:t>compliance</w:t>
                  </w:r>
                  <w:r>
                    <w:rPr>
                      <w:rFonts w:ascii="Calibri" w:hAnsi="Calibri" w:cs="Calibri"/>
                    </w:rPr>
                    <w:t xml:space="preserve"> and Trustee</w:t>
                  </w:r>
                  <w:r w:rsidRPr="0068693B">
                    <w:rPr>
                      <w:rFonts w:ascii="Calibri" w:hAnsi="Calibri" w:cs="Calibri"/>
                    </w:rPr>
                    <w:t xml:space="preserve"> </w:t>
                  </w:r>
                  <w:r>
                    <w:rPr>
                      <w:rFonts w:ascii="Calibri" w:hAnsi="Calibri" w:cs="Calibri"/>
                    </w:rPr>
                    <w:t>responsibilities</w:t>
                  </w:r>
                  <w:r w:rsidRPr="0068693B">
                    <w:rPr>
                      <w:rFonts w:ascii="Calibri" w:hAnsi="Calibri" w:cs="Calibri"/>
                    </w:rPr>
                    <w:t xml:space="preserve"> under pressure.</w:t>
                  </w:r>
                </w:p>
                <w:p w14:paraId="5BCF4917" w14:textId="77777777" w:rsidR="00B02111" w:rsidRPr="0068693B" w:rsidRDefault="00B02111" w:rsidP="00B02111">
                  <w:pPr>
                    <w:pStyle w:val="ListBullet"/>
                    <w:rPr>
                      <w:rFonts w:ascii="Calibri" w:hAnsi="Calibri" w:cs="Calibri"/>
                    </w:rPr>
                  </w:pPr>
                  <w:r w:rsidRPr="0068693B">
                    <w:rPr>
                      <w:rFonts w:ascii="Calibri" w:hAnsi="Calibri" w:cs="Calibri"/>
                    </w:rPr>
                    <w:t>Strong leadership and team development capabilities.</w:t>
                  </w:r>
                </w:p>
                <w:p w14:paraId="3A33D3E5" w14:textId="77777777" w:rsidR="00B02111" w:rsidRPr="00A31A09" w:rsidRDefault="00B02111" w:rsidP="00B02111">
                  <w:pPr>
                    <w:pStyle w:val="ListBullet"/>
                    <w:numPr>
                      <w:ilvl w:val="0"/>
                      <w:numId w:val="0"/>
                    </w:numPr>
                    <w:rPr>
                      <w:rFonts w:ascii="Calibri" w:hAnsi="Calibri" w:cs="Calibri"/>
                    </w:rPr>
                  </w:pPr>
                </w:p>
              </w:tc>
            </w:tr>
          </w:tbl>
          <w:p w14:paraId="3BF47751" w14:textId="2402822B" w:rsidR="00A63A60" w:rsidRPr="00A31A09" w:rsidRDefault="00A63A60" w:rsidP="00B02111">
            <w:pPr>
              <w:pStyle w:val="ListBullet"/>
              <w:numPr>
                <w:ilvl w:val="0"/>
                <w:numId w:val="0"/>
              </w:numPr>
              <w:rPr>
                <w:rFonts w:ascii="Calibri" w:hAnsi="Calibri" w:cs="Calibri"/>
              </w:rPr>
            </w:pPr>
          </w:p>
        </w:tc>
      </w:tr>
    </w:tbl>
    <w:p w14:paraId="7E2C9567" w14:textId="77777777" w:rsidR="001F4B88" w:rsidRPr="00A31A09" w:rsidRDefault="001F4B88" w:rsidP="001F4B88">
      <w:pPr>
        <w:spacing w:after="0" w:line="240" w:lineRule="auto"/>
        <w:rPr>
          <w:rFonts w:ascii="Calibri" w:eastAsia="Times New Roman" w:hAnsi="Calibri" w:cs="Calibri"/>
          <w:lang w:val="en-AU"/>
        </w:rPr>
      </w:pPr>
    </w:p>
    <w:p w14:paraId="1DA8F5A5" w14:textId="77777777" w:rsidR="001F4B88" w:rsidRPr="00A31A09" w:rsidRDefault="001F4B88">
      <w:pPr>
        <w:rPr>
          <w:rFonts w:ascii="Calibri" w:hAnsi="Calibri" w:cs="Calibri"/>
        </w:rPr>
      </w:pPr>
    </w:p>
    <w:sectPr w:rsidR="001F4B88" w:rsidRPr="00A31A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5E67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4F6CC1"/>
    <w:multiLevelType w:val="multilevel"/>
    <w:tmpl w:val="EAE2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303272"/>
    <w:multiLevelType w:val="hybridMultilevel"/>
    <w:tmpl w:val="E55EE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DC6036"/>
    <w:multiLevelType w:val="hybridMultilevel"/>
    <w:tmpl w:val="5F24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807A4"/>
    <w:multiLevelType w:val="hybridMultilevel"/>
    <w:tmpl w:val="12C69B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2B07CA2"/>
    <w:multiLevelType w:val="multilevel"/>
    <w:tmpl w:val="5394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A21037"/>
    <w:multiLevelType w:val="hybridMultilevel"/>
    <w:tmpl w:val="393E8110"/>
    <w:lvl w:ilvl="0" w:tplc="2F16BC2A">
      <w:numFmt w:val="bullet"/>
      <w:lvlText w:val="•"/>
      <w:lvlJc w:val="left"/>
      <w:pPr>
        <w:ind w:left="1080" w:hanging="720"/>
      </w:pPr>
      <w:rPr>
        <w:rFonts w:ascii="Calibri" w:eastAsiaTheme="maj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A3C55"/>
    <w:multiLevelType w:val="multilevel"/>
    <w:tmpl w:val="AEAA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074A8B"/>
    <w:multiLevelType w:val="hybridMultilevel"/>
    <w:tmpl w:val="DA3A9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C37787"/>
    <w:multiLevelType w:val="hybridMultilevel"/>
    <w:tmpl w:val="8AD4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723CC"/>
    <w:multiLevelType w:val="multilevel"/>
    <w:tmpl w:val="2462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257E38"/>
    <w:multiLevelType w:val="hybridMultilevel"/>
    <w:tmpl w:val="D9B6C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97147FF"/>
    <w:multiLevelType w:val="hybridMultilevel"/>
    <w:tmpl w:val="9E8CF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A8469B2"/>
    <w:multiLevelType w:val="hybridMultilevel"/>
    <w:tmpl w:val="C37CF47A"/>
    <w:lvl w:ilvl="0" w:tplc="2F16BC2A">
      <w:numFmt w:val="bullet"/>
      <w:lvlText w:val="•"/>
      <w:lvlJc w:val="left"/>
      <w:pPr>
        <w:ind w:left="720" w:hanging="720"/>
      </w:pPr>
      <w:rPr>
        <w:rFonts w:ascii="Calibri" w:eastAsiaTheme="majorEastAsia"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925601"/>
    <w:multiLevelType w:val="multilevel"/>
    <w:tmpl w:val="66E2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7079002">
    <w:abstractNumId w:val="4"/>
  </w:num>
  <w:num w:numId="2" w16cid:durableId="1846633575">
    <w:abstractNumId w:val="2"/>
  </w:num>
  <w:num w:numId="3" w16cid:durableId="1365322606">
    <w:abstractNumId w:val="8"/>
  </w:num>
  <w:num w:numId="4" w16cid:durableId="927077787">
    <w:abstractNumId w:val="9"/>
  </w:num>
  <w:num w:numId="5" w16cid:durableId="267547201">
    <w:abstractNumId w:val="0"/>
  </w:num>
  <w:num w:numId="6" w16cid:durableId="1443914546">
    <w:abstractNumId w:val="5"/>
  </w:num>
  <w:num w:numId="7" w16cid:durableId="317422359">
    <w:abstractNumId w:val="7"/>
  </w:num>
  <w:num w:numId="8" w16cid:durableId="1588733374">
    <w:abstractNumId w:val="10"/>
  </w:num>
  <w:num w:numId="9" w16cid:durableId="268584975">
    <w:abstractNumId w:val="1"/>
  </w:num>
  <w:num w:numId="10" w16cid:durableId="1631278155">
    <w:abstractNumId w:val="14"/>
  </w:num>
  <w:num w:numId="11" w16cid:durableId="1550148491">
    <w:abstractNumId w:val="3"/>
  </w:num>
  <w:num w:numId="12" w16cid:durableId="826363012">
    <w:abstractNumId w:val="6"/>
  </w:num>
  <w:num w:numId="13" w16cid:durableId="1151094318">
    <w:abstractNumId w:val="13"/>
  </w:num>
  <w:num w:numId="14" w16cid:durableId="697894127">
    <w:abstractNumId w:val="12"/>
  </w:num>
  <w:num w:numId="15" w16cid:durableId="16879024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88"/>
    <w:rsid w:val="000E759C"/>
    <w:rsid w:val="00174760"/>
    <w:rsid w:val="00191094"/>
    <w:rsid w:val="001B77D8"/>
    <w:rsid w:val="001E0429"/>
    <w:rsid w:val="001F4B88"/>
    <w:rsid w:val="00241BA6"/>
    <w:rsid w:val="003932B6"/>
    <w:rsid w:val="0049497C"/>
    <w:rsid w:val="00504413"/>
    <w:rsid w:val="0057458F"/>
    <w:rsid w:val="005D7EF1"/>
    <w:rsid w:val="00645F5A"/>
    <w:rsid w:val="0068693B"/>
    <w:rsid w:val="007244DC"/>
    <w:rsid w:val="007723C8"/>
    <w:rsid w:val="00782814"/>
    <w:rsid w:val="007A6324"/>
    <w:rsid w:val="007B0770"/>
    <w:rsid w:val="007B388C"/>
    <w:rsid w:val="00807A6F"/>
    <w:rsid w:val="00925BC4"/>
    <w:rsid w:val="00936495"/>
    <w:rsid w:val="00952025"/>
    <w:rsid w:val="00977442"/>
    <w:rsid w:val="00A27524"/>
    <w:rsid w:val="00A31A09"/>
    <w:rsid w:val="00A63A60"/>
    <w:rsid w:val="00A71662"/>
    <w:rsid w:val="00A85EA7"/>
    <w:rsid w:val="00AC5B4F"/>
    <w:rsid w:val="00B02111"/>
    <w:rsid w:val="00B12172"/>
    <w:rsid w:val="00B16C9F"/>
    <w:rsid w:val="00B31D20"/>
    <w:rsid w:val="00B94BF2"/>
    <w:rsid w:val="00BA0AA0"/>
    <w:rsid w:val="00CD0488"/>
    <w:rsid w:val="00E464F6"/>
    <w:rsid w:val="00EA0F03"/>
    <w:rsid w:val="00EA6C02"/>
    <w:rsid w:val="00EE6543"/>
    <w:rsid w:val="00FE2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3F23"/>
  <w15:chartTrackingRefBased/>
  <w15:docId w15:val="{ADE166CD-2CBB-4F1C-B0F8-55636137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B8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F4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B88"/>
    <w:rPr>
      <w:rFonts w:eastAsiaTheme="majorEastAsia" w:cstheme="majorBidi"/>
      <w:color w:val="272727" w:themeColor="text1" w:themeTint="D8"/>
    </w:rPr>
  </w:style>
  <w:style w:type="paragraph" w:styleId="Title">
    <w:name w:val="Title"/>
    <w:basedOn w:val="Normal"/>
    <w:next w:val="Normal"/>
    <w:link w:val="TitleChar"/>
    <w:uiPriority w:val="10"/>
    <w:qFormat/>
    <w:rsid w:val="001F4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B88"/>
    <w:pPr>
      <w:spacing w:before="160"/>
      <w:jc w:val="center"/>
    </w:pPr>
    <w:rPr>
      <w:i/>
      <w:iCs/>
      <w:color w:val="404040" w:themeColor="text1" w:themeTint="BF"/>
    </w:rPr>
  </w:style>
  <w:style w:type="character" w:customStyle="1" w:styleId="QuoteChar">
    <w:name w:val="Quote Char"/>
    <w:basedOn w:val="DefaultParagraphFont"/>
    <w:link w:val="Quote"/>
    <w:uiPriority w:val="29"/>
    <w:rsid w:val="001F4B88"/>
    <w:rPr>
      <w:i/>
      <w:iCs/>
      <w:color w:val="404040" w:themeColor="text1" w:themeTint="BF"/>
    </w:rPr>
  </w:style>
  <w:style w:type="paragraph" w:styleId="ListParagraph">
    <w:name w:val="List Paragraph"/>
    <w:basedOn w:val="Normal"/>
    <w:uiPriority w:val="34"/>
    <w:qFormat/>
    <w:rsid w:val="001F4B88"/>
    <w:pPr>
      <w:ind w:left="720"/>
      <w:contextualSpacing/>
    </w:pPr>
  </w:style>
  <w:style w:type="character" w:styleId="IntenseEmphasis">
    <w:name w:val="Intense Emphasis"/>
    <w:basedOn w:val="DefaultParagraphFont"/>
    <w:uiPriority w:val="21"/>
    <w:qFormat/>
    <w:rsid w:val="001F4B88"/>
    <w:rPr>
      <w:i/>
      <w:iCs/>
      <w:color w:val="0F4761" w:themeColor="accent1" w:themeShade="BF"/>
    </w:rPr>
  </w:style>
  <w:style w:type="paragraph" w:styleId="IntenseQuote">
    <w:name w:val="Intense Quote"/>
    <w:basedOn w:val="Normal"/>
    <w:next w:val="Normal"/>
    <w:link w:val="IntenseQuoteChar"/>
    <w:uiPriority w:val="30"/>
    <w:qFormat/>
    <w:rsid w:val="001F4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B88"/>
    <w:rPr>
      <w:i/>
      <w:iCs/>
      <w:color w:val="0F4761" w:themeColor="accent1" w:themeShade="BF"/>
    </w:rPr>
  </w:style>
  <w:style w:type="character" w:styleId="IntenseReference">
    <w:name w:val="Intense Reference"/>
    <w:basedOn w:val="DefaultParagraphFont"/>
    <w:uiPriority w:val="32"/>
    <w:qFormat/>
    <w:rsid w:val="001F4B88"/>
    <w:rPr>
      <w:b/>
      <w:bCs/>
      <w:smallCaps/>
      <w:color w:val="0F4761" w:themeColor="accent1" w:themeShade="BF"/>
      <w:spacing w:val="5"/>
    </w:rPr>
  </w:style>
  <w:style w:type="table" w:styleId="TableGrid">
    <w:name w:val="Table Grid"/>
    <w:basedOn w:val="TableNormal"/>
    <w:uiPriority w:val="59"/>
    <w:rsid w:val="001F4B8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B07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B0770"/>
  </w:style>
  <w:style w:type="character" w:customStyle="1" w:styleId="eop">
    <w:name w:val="eop"/>
    <w:basedOn w:val="DefaultParagraphFont"/>
    <w:rsid w:val="007B0770"/>
  </w:style>
  <w:style w:type="paragraph" w:styleId="ListBullet">
    <w:name w:val="List Bullet"/>
    <w:basedOn w:val="Normal"/>
    <w:uiPriority w:val="99"/>
    <w:unhideWhenUsed/>
    <w:rsid w:val="00A31A09"/>
    <w:pPr>
      <w:numPr>
        <w:numId w:val="5"/>
      </w:numPr>
      <w:contextualSpacing/>
    </w:pPr>
    <w:rPr>
      <w:rFonts w:eastAsiaTheme="minorEastAsia"/>
      <w:lang w:val="en-US"/>
    </w:rPr>
  </w:style>
  <w:style w:type="paragraph" w:styleId="Revision">
    <w:name w:val="Revision"/>
    <w:hidden/>
    <w:uiPriority w:val="99"/>
    <w:semiHidden/>
    <w:rsid w:val="00A2752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7673">
      <w:bodyDiv w:val="1"/>
      <w:marLeft w:val="0"/>
      <w:marRight w:val="0"/>
      <w:marTop w:val="0"/>
      <w:marBottom w:val="0"/>
      <w:divBdr>
        <w:top w:val="none" w:sz="0" w:space="0" w:color="auto"/>
        <w:left w:val="none" w:sz="0" w:space="0" w:color="auto"/>
        <w:bottom w:val="none" w:sz="0" w:space="0" w:color="auto"/>
        <w:right w:val="none" w:sz="0" w:space="0" w:color="auto"/>
      </w:divBdr>
    </w:div>
    <w:div w:id="328678588">
      <w:bodyDiv w:val="1"/>
      <w:marLeft w:val="0"/>
      <w:marRight w:val="0"/>
      <w:marTop w:val="0"/>
      <w:marBottom w:val="0"/>
      <w:divBdr>
        <w:top w:val="none" w:sz="0" w:space="0" w:color="auto"/>
        <w:left w:val="none" w:sz="0" w:space="0" w:color="auto"/>
        <w:bottom w:val="none" w:sz="0" w:space="0" w:color="auto"/>
        <w:right w:val="none" w:sz="0" w:space="0" w:color="auto"/>
      </w:divBdr>
      <w:divsChild>
        <w:div w:id="1974173207">
          <w:marLeft w:val="0"/>
          <w:marRight w:val="0"/>
          <w:marTop w:val="0"/>
          <w:marBottom w:val="0"/>
          <w:divBdr>
            <w:top w:val="none" w:sz="0" w:space="0" w:color="auto"/>
            <w:left w:val="none" w:sz="0" w:space="0" w:color="auto"/>
            <w:bottom w:val="none" w:sz="0" w:space="0" w:color="auto"/>
            <w:right w:val="none" w:sz="0" w:space="0" w:color="auto"/>
          </w:divBdr>
        </w:div>
        <w:div w:id="1981496996">
          <w:marLeft w:val="0"/>
          <w:marRight w:val="0"/>
          <w:marTop w:val="0"/>
          <w:marBottom w:val="0"/>
          <w:divBdr>
            <w:top w:val="none" w:sz="0" w:space="0" w:color="auto"/>
            <w:left w:val="none" w:sz="0" w:space="0" w:color="auto"/>
            <w:bottom w:val="none" w:sz="0" w:space="0" w:color="auto"/>
            <w:right w:val="none" w:sz="0" w:space="0" w:color="auto"/>
          </w:divBdr>
        </w:div>
        <w:div w:id="559363858">
          <w:marLeft w:val="0"/>
          <w:marRight w:val="0"/>
          <w:marTop w:val="0"/>
          <w:marBottom w:val="0"/>
          <w:divBdr>
            <w:top w:val="none" w:sz="0" w:space="0" w:color="auto"/>
            <w:left w:val="none" w:sz="0" w:space="0" w:color="auto"/>
            <w:bottom w:val="none" w:sz="0" w:space="0" w:color="auto"/>
            <w:right w:val="none" w:sz="0" w:space="0" w:color="auto"/>
          </w:divBdr>
        </w:div>
        <w:div w:id="1291395031">
          <w:marLeft w:val="0"/>
          <w:marRight w:val="0"/>
          <w:marTop w:val="0"/>
          <w:marBottom w:val="0"/>
          <w:divBdr>
            <w:top w:val="none" w:sz="0" w:space="0" w:color="auto"/>
            <w:left w:val="none" w:sz="0" w:space="0" w:color="auto"/>
            <w:bottom w:val="none" w:sz="0" w:space="0" w:color="auto"/>
            <w:right w:val="none" w:sz="0" w:space="0" w:color="auto"/>
          </w:divBdr>
        </w:div>
        <w:div w:id="501317352">
          <w:marLeft w:val="0"/>
          <w:marRight w:val="0"/>
          <w:marTop w:val="0"/>
          <w:marBottom w:val="0"/>
          <w:divBdr>
            <w:top w:val="none" w:sz="0" w:space="0" w:color="auto"/>
            <w:left w:val="none" w:sz="0" w:space="0" w:color="auto"/>
            <w:bottom w:val="none" w:sz="0" w:space="0" w:color="auto"/>
            <w:right w:val="none" w:sz="0" w:space="0" w:color="auto"/>
          </w:divBdr>
        </w:div>
        <w:div w:id="1102609237">
          <w:marLeft w:val="0"/>
          <w:marRight w:val="0"/>
          <w:marTop w:val="0"/>
          <w:marBottom w:val="0"/>
          <w:divBdr>
            <w:top w:val="none" w:sz="0" w:space="0" w:color="auto"/>
            <w:left w:val="none" w:sz="0" w:space="0" w:color="auto"/>
            <w:bottom w:val="none" w:sz="0" w:space="0" w:color="auto"/>
            <w:right w:val="none" w:sz="0" w:space="0" w:color="auto"/>
          </w:divBdr>
        </w:div>
        <w:div w:id="358167511">
          <w:marLeft w:val="0"/>
          <w:marRight w:val="0"/>
          <w:marTop w:val="0"/>
          <w:marBottom w:val="0"/>
          <w:divBdr>
            <w:top w:val="none" w:sz="0" w:space="0" w:color="auto"/>
            <w:left w:val="none" w:sz="0" w:space="0" w:color="auto"/>
            <w:bottom w:val="none" w:sz="0" w:space="0" w:color="auto"/>
            <w:right w:val="none" w:sz="0" w:space="0" w:color="auto"/>
          </w:divBdr>
        </w:div>
        <w:div w:id="1727408240">
          <w:marLeft w:val="0"/>
          <w:marRight w:val="0"/>
          <w:marTop w:val="0"/>
          <w:marBottom w:val="0"/>
          <w:divBdr>
            <w:top w:val="none" w:sz="0" w:space="0" w:color="auto"/>
            <w:left w:val="none" w:sz="0" w:space="0" w:color="auto"/>
            <w:bottom w:val="none" w:sz="0" w:space="0" w:color="auto"/>
            <w:right w:val="none" w:sz="0" w:space="0" w:color="auto"/>
          </w:divBdr>
        </w:div>
        <w:div w:id="1739740001">
          <w:marLeft w:val="0"/>
          <w:marRight w:val="0"/>
          <w:marTop w:val="0"/>
          <w:marBottom w:val="0"/>
          <w:divBdr>
            <w:top w:val="none" w:sz="0" w:space="0" w:color="auto"/>
            <w:left w:val="none" w:sz="0" w:space="0" w:color="auto"/>
            <w:bottom w:val="none" w:sz="0" w:space="0" w:color="auto"/>
            <w:right w:val="none" w:sz="0" w:space="0" w:color="auto"/>
          </w:divBdr>
        </w:div>
        <w:div w:id="1213813212">
          <w:marLeft w:val="0"/>
          <w:marRight w:val="0"/>
          <w:marTop w:val="0"/>
          <w:marBottom w:val="0"/>
          <w:divBdr>
            <w:top w:val="none" w:sz="0" w:space="0" w:color="auto"/>
            <w:left w:val="none" w:sz="0" w:space="0" w:color="auto"/>
            <w:bottom w:val="none" w:sz="0" w:space="0" w:color="auto"/>
            <w:right w:val="none" w:sz="0" w:space="0" w:color="auto"/>
          </w:divBdr>
        </w:div>
        <w:div w:id="2064212584">
          <w:marLeft w:val="0"/>
          <w:marRight w:val="0"/>
          <w:marTop w:val="0"/>
          <w:marBottom w:val="0"/>
          <w:divBdr>
            <w:top w:val="none" w:sz="0" w:space="0" w:color="auto"/>
            <w:left w:val="none" w:sz="0" w:space="0" w:color="auto"/>
            <w:bottom w:val="none" w:sz="0" w:space="0" w:color="auto"/>
            <w:right w:val="none" w:sz="0" w:space="0" w:color="auto"/>
          </w:divBdr>
        </w:div>
        <w:div w:id="1453402572">
          <w:marLeft w:val="0"/>
          <w:marRight w:val="0"/>
          <w:marTop w:val="0"/>
          <w:marBottom w:val="0"/>
          <w:divBdr>
            <w:top w:val="none" w:sz="0" w:space="0" w:color="auto"/>
            <w:left w:val="none" w:sz="0" w:space="0" w:color="auto"/>
            <w:bottom w:val="none" w:sz="0" w:space="0" w:color="auto"/>
            <w:right w:val="none" w:sz="0" w:space="0" w:color="auto"/>
          </w:divBdr>
        </w:div>
        <w:div w:id="2089038522">
          <w:marLeft w:val="0"/>
          <w:marRight w:val="0"/>
          <w:marTop w:val="0"/>
          <w:marBottom w:val="0"/>
          <w:divBdr>
            <w:top w:val="none" w:sz="0" w:space="0" w:color="auto"/>
            <w:left w:val="none" w:sz="0" w:space="0" w:color="auto"/>
            <w:bottom w:val="none" w:sz="0" w:space="0" w:color="auto"/>
            <w:right w:val="none" w:sz="0" w:space="0" w:color="auto"/>
          </w:divBdr>
        </w:div>
      </w:divsChild>
    </w:div>
    <w:div w:id="401802315">
      <w:bodyDiv w:val="1"/>
      <w:marLeft w:val="0"/>
      <w:marRight w:val="0"/>
      <w:marTop w:val="0"/>
      <w:marBottom w:val="0"/>
      <w:divBdr>
        <w:top w:val="none" w:sz="0" w:space="0" w:color="auto"/>
        <w:left w:val="none" w:sz="0" w:space="0" w:color="auto"/>
        <w:bottom w:val="none" w:sz="0" w:space="0" w:color="auto"/>
        <w:right w:val="none" w:sz="0" w:space="0" w:color="auto"/>
      </w:divBdr>
      <w:divsChild>
        <w:div w:id="920021334">
          <w:marLeft w:val="0"/>
          <w:marRight w:val="0"/>
          <w:marTop w:val="0"/>
          <w:marBottom w:val="0"/>
          <w:divBdr>
            <w:top w:val="none" w:sz="0" w:space="0" w:color="auto"/>
            <w:left w:val="none" w:sz="0" w:space="0" w:color="auto"/>
            <w:bottom w:val="none" w:sz="0" w:space="0" w:color="auto"/>
            <w:right w:val="none" w:sz="0" w:space="0" w:color="auto"/>
          </w:divBdr>
          <w:divsChild>
            <w:div w:id="372921091">
              <w:marLeft w:val="0"/>
              <w:marRight w:val="0"/>
              <w:marTop w:val="0"/>
              <w:marBottom w:val="0"/>
              <w:divBdr>
                <w:top w:val="none" w:sz="0" w:space="0" w:color="auto"/>
                <w:left w:val="none" w:sz="0" w:space="0" w:color="auto"/>
                <w:bottom w:val="none" w:sz="0" w:space="0" w:color="auto"/>
                <w:right w:val="none" w:sz="0" w:space="0" w:color="auto"/>
              </w:divBdr>
            </w:div>
          </w:divsChild>
        </w:div>
        <w:div w:id="1080058736">
          <w:marLeft w:val="0"/>
          <w:marRight w:val="0"/>
          <w:marTop w:val="0"/>
          <w:marBottom w:val="0"/>
          <w:divBdr>
            <w:top w:val="none" w:sz="0" w:space="0" w:color="auto"/>
            <w:left w:val="none" w:sz="0" w:space="0" w:color="auto"/>
            <w:bottom w:val="none" w:sz="0" w:space="0" w:color="auto"/>
            <w:right w:val="none" w:sz="0" w:space="0" w:color="auto"/>
          </w:divBdr>
          <w:divsChild>
            <w:div w:id="5321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3768">
      <w:bodyDiv w:val="1"/>
      <w:marLeft w:val="0"/>
      <w:marRight w:val="0"/>
      <w:marTop w:val="0"/>
      <w:marBottom w:val="0"/>
      <w:divBdr>
        <w:top w:val="none" w:sz="0" w:space="0" w:color="auto"/>
        <w:left w:val="none" w:sz="0" w:space="0" w:color="auto"/>
        <w:bottom w:val="none" w:sz="0" w:space="0" w:color="auto"/>
        <w:right w:val="none" w:sz="0" w:space="0" w:color="auto"/>
      </w:divBdr>
    </w:div>
    <w:div w:id="1571382883">
      <w:bodyDiv w:val="1"/>
      <w:marLeft w:val="0"/>
      <w:marRight w:val="0"/>
      <w:marTop w:val="0"/>
      <w:marBottom w:val="0"/>
      <w:divBdr>
        <w:top w:val="none" w:sz="0" w:space="0" w:color="auto"/>
        <w:left w:val="none" w:sz="0" w:space="0" w:color="auto"/>
        <w:bottom w:val="none" w:sz="0" w:space="0" w:color="auto"/>
        <w:right w:val="none" w:sz="0" w:space="0" w:color="auto"/>
      </w:divBdr>
    </w:div>
    <w:div w:id="1748729388">
      <w:bodyDiv w:val="1"/>
      <w:marLeft w:val="0"/>
      <w:marRight w:val="0"/>
      <w:marTop w:val="0"/>
      <w:marBottom w:val="0"/>
      <w:divBdr>
        <w:top w:val="none" w:sz="0" w:space="0" w:color="auto"/>
        <w:left w:val="none" w:sz="0" w:space="0" w:color="auto"/>
        <w:bottom w:val="none" w:sz="0" w:space="0" w:color="auto"/>
        <w:right w:val="none" w:sz="0" w:space="0" w:color="auto"/>
      </w:divBdr>
    </w:div>
    <w:div w:id="18173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s.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9BEA59555804CA0D6A90E8E3FE3B1" ma:contentTypeVersion="14" ma:contentTypeDescription="Create a new document." ma:contentTypeScope="" ma:versionID="dc73459968efbe9add5d901aad1949cf">
  <xsd:schema xmlns:xsd="http://www.w3.org/2001/XMLSchema" xmlns:xs="http://www.w3.org/2001/XMLSchema" xmlns:p="http://schemas.microsoft.com/office/2006/metadata/properties" xmlns:ns3="e9f4a862-15b5-4e40-b46e-8372b8ffc10a" xmlns:ns4="14f99088-ba43-4e13-ac9b-8cb20f3b9e9a" targetNamespace="http://schemas.microsoft.com/office/2006/metadata/properties" ma:root="true" ma:fieldsID="96bccc8cda9415f7905ca0dade0c97b0" ns3:_="" ns4:_="">
    <xsd:import namespace="e9f4a862-15b5-4e40-b46e-8372b8ffc10a"/>
    <xsd:import namespace="14f99088-ba43-4e13-ac9b-8cb20f3b9e9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4a862-15b5-4e40-b46e-8372b8ffc10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99088-ba43-4e13-ac9b-8cb20f3b9e9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f4a862-15b5-4e40-b46e-8372b8ffc10a" xsi:nil="true"/>
  </documentManagement>
</p:properties>
</file>

<file path=customXml/itemProps1.xml><?xml version="1.0" encoding="utf-8"?>
<ds:datastoreItem xmlns:ds="http://schemas.openxmlformats.org/officeDocument/2006/customXml" ds:itemID="{69486691-2D00-4B24-BF4A-252E1C9A2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4a862-15b5-4e40-b46e-8372b8ffc10a"/>
    <ds:schemaRef ds:uri="14f99088-ba43-4e13-ac9b-8cb20f3b9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F564C-B57E-42B2-AE8B-F180246F4982}">
  <ds:schemaRefs>
    <ds:schemaRef ds:uri="http://schemas.microsoft.com/sharepoint/v3/contenttype/forms"/>
  </ds:schemaRefs>
</ds:datastoreItem>
</file>

<file path=customXml/itemProps3.xml><?xml version="1.0" encoding="utf-8"?>
<ds:datastoreItem xmlns:ds="http://schemas.openxmlformats.org/officeDocument/2006/customXml" ds:itemID="{55541D48-D7A4-4580-B5FB-C41934BDD787}">
  <ds:schemaRefs>
    <ds:schemaRef ds:uri="http://schemas.microsoft.com/office/2006/metadata/properties"/>
    <ds:schemaRef ds:uri="http://schemas.microsoft.com/office/infopath/2007/PartnerControls"/>
    <ds:schemaRef ds:uri="e9f4a862-15b5-4e40-b46e-8372b8ffc1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Personnel Hygiene Services Ltd</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Baxter</dc:creator>
  <cp:keywords/>
  <dc:description/>
  <cp:lastModifiedBy>Claire Honess</cp:lastModifiedBy>
  <cp:revision>2</cp:revision>
  <dcterms:created xsi:type="dcterms:W3CDTF">2025-11-26T10:05:00Z</dcterms:created>
  <dcterms:modified xsi:type="dcterms:W3CDTF">2025-11-26T10:05:00Z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0x0101001EF9BEA59555804CA0D6A90E8E3FE3B1</vt:lpwstr>
  </property>
</Properties>
</file>