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FA8A5" w14:textId="77777777" w:rsidR="008662AC" w:rsidRDefault="008662AC" w:rsidP="008662AC">
      <w:pPr>
        <w:pStyle w:val="NoSpacing"/>
      </w:pPr>
    </w:p>
    <w:p w14:paraId="2EB58946" w14:textId="77777777" w:rsidR="008662AC" w:rsidRDefault="008662AC" w:rsidP="008662AC">
      <w:pPr>
        <w:pStyle w:val="NoSpacing"/>
      </w:pPr>
    </w:p>
    <w:p w14:paraId="05601947" w14:textId="77777777" w:rsidR="008662AC" w:rsidRPr="00490BF0" w:rsidRDefault="008662AC" w:rsidP="008662AC">
      <w:pPr>
        <w:pStyle w:val="NoSpacing"/>
      </w:pPr>
      <w:r>
        <w:t xml:space="preserve">                                                                           </w:t>
      </w:r>
      <w:r w:rsidRPr="00490BF0">
        <w:rPr>
          <w:noProof/>
        </w:rPr>
        <w:drawing>
          <wp:inline distT="0" distB="0" distL="0" distR="0" wp14:anchorId="08435821" wp14:editId="1A98A556">
            <wp:extent cx="1658620" cy="488950"/>
            <wp:effectExtent l="0" t="0" r="0" b="6350"/>
            <wp:docPr id="1" name="Picture 1" descr="PHS compliance logo"/>
            <wp:cNvGraphicFramePr/>
            <a:graphic xmlns:a="http://schemas.openxmlformats.org/drawingml/2006/main">
              <a:graphicData uri="http://schemas.openxmlformats.org/drawingml/2006/picture">
                <pic:pic xmlns:pic="http://schemas.openxmlformats.org/drawingml/2006/picture">
                  <pic:nvPicPr>
                    <pic:cNvPr id="1" name="Picture 1" descr="PHS compliance logo"/>
                    <pic:cNvPicPr/>
                  </pic:nvPicPr>
                  <pic:blipFill>
                    <a:blip r:embed="rId7"/>
                    <a:srcRect/>
                    <a:stretch>
                      <a:fillRect/>
                    </a:stretch>
                  </pic:blipFill>
                  <pic:spPr bwMode="auto">
                    <a:xfrm>
                      <a:off x="0" y="0"/>
                      <a:ext cx="1658620" cy="488950"/>
                    </a:xfrm>
                    <a:prstGeom prst="rect">
                      <a:avLst/>
                    </a:prstGeom>
                    <a:noFill/>
                    <a:ln w="9525">
                      <a:noFill/>
                      <a:miter lim="800000"/>
                      <a:headEnd/>
                      <a:tailEnd/>
                    </a:ln>
                  </pic:spPr>
                </pic:pic>
              </a:graphicData>
            </a:graphic>
          </wp:inline>
        </w:drawing>
      </w:r>
    </w:p>
    <w:p w14:paraId="52B659E9" w14:textId="77777777" w:rsidR="008662AC" w:rsidRPr="00490BF0" w:rsidRDefault="008662AC" w:rsidP="008662AC">
      <w:pPr>
        <w:pStyle w:val="NoSpacing"/>
      </w:pPr>
    </w:p>
    <w:p w14:paraId="38A4246D" w14:textId="77777777" w:rsidR="008662AC" w:rsidRPr="00490BF0" w:rsidRDefault="008662AC" w:rsidP="008662AC">
      <w:pPr>
        <w:pStyle w:val="NoSpacing"/>
      </w:pPr>
    </w:p>
    <w:p w14:paraId="0C1628D7" w14:textId="77777777" w:rsidR="008662AC" w:rsidRPr="00490BF0" w:rsidRDefault="008662AC" w:rsidP="008662AC">
      <w:pPr>
        <w:keepNext/>
        <w:spacing w:after="0" w:line="240" w:lineRule="auto"/>
        <w:jc w:val="center"/>
        <w:outlineLvl w:val="5"/>
        <w:rPr>
          <w:rFonts w:eastAsia="Times New Roman" w:cstheme="minorHAnsi"/>
          <w:b/>
          <w:u w:val="single"/>
          <w:lang w:val="en-US"/>
        </w:rPr>
      </w:pPr>
      <w:r w:rsidRPr="00490BF0">
        <w:rPr>
          <w:rFonts w:eastAsia="Times New Roman" w:cstheme="minorHAnsi"/>
          <w:b/>
          <w:u w:val="single"/>
          <w:lang w:val="en-US"/>
        </w:rPr>
        <w:t>Job Description</w:t>
      </w:r>
    </w:p>
    <w:p w14:paraId="49297F45" w14:textId="77777777" w:rsidR="008662AC" w:rsidRPr="00490BF0" w:rsidRDefault="008662AC" w:rsidP="008662AC">
      <w:pPr>
        <w:keepNext/>
        <w:spacing w:after="0" w:line="240" w:lineRule="auto"/>
        <w:jc w:val="center"/>
        <w:outlineLvl w:val="5"/>
        <w:rPr>
          <w:rFonts w:eastAsia="Times New Roman" w:cstheme="minorHAnsi"/>
          <w:b/>
          <w:u w:val="single"/>
          <w:lang w:val="en-US"/>
        </w:rPr>
      </w:pPr>
    </w:p>
    <w:p w14:paraId="580458A0" w14:textId="199E50B1" w:rsidR="008662AC" w:rsidRDefault="008662AC" w:rsidP="008662AC">
      <w:pPr>
        <w:spacing w:after="0" w:line="240" w:lineRule="auto"/>
        <w:jc w:val="both"/>
        <w:rPr>
          <w:rFonts w:ascii="Calibri" w:eastAsia="Times New Roman" w:hAnsi="Calibri" w:cs="Calibri"/>
          <w:b/>
          <w:color w:val="000000" w:themeColor="text1"/>
          <w:lang w:val="en-US"/>
        </w:rPr>
      </w:pPr>
      <w:r w:rsidRPr="00490BF0">
        <w:rPr>
          <w:rFonts w:ascii="Calibri" w:eastAsia="Times New Roman" w:hAnsi="Calibri" w:cs="Calibri"/>
          <w:b/>
          <w:color w:val="000000" w:themeColor="text1"/>
          <w:lang w:val="en-US"/>
        </w:rPr>
        <w:t>Job Title:</w:t>
      </w:r>
      <w:r w:rsidRPr="00490BF0">
        <w:rPr>
          <w:rFonts w:ascii="Calibri" w:eastAsia="Times New Roman" w:hAnsi="Calibri" w:cs="Calibri"/>
          <w:b/>
          <w:color w:val="000000" w:themeColor="text1"/>
          <w:lang w:val="en-US"/>
        </w:rPr>
        <w:tab/>
      </w:r>
      <w:r w:rsidRPr="00490BF0">
        <w:rPr>
          <w:rFonts w:ascii="Calibri" w:eastAsia="Times New Roman" w:hAnsi="Calibri" w:cs="Calibri"/>
          <w:b/>
          <w:color w:val="000000" w:themeColor="text1"/>
          <w:lang w:val="en-US"/>
        </w:rPr>
        <w:tab/>
      </w:r>
      <w:r w:rsidRPr="00490BF0">
        <w:rPr>
          <w:rFonts w:ascii="Calibri" w:eastAsia="Times New Roman" w:hAnsi="Calibri" w:cs="Calibri"/>
          <w:b/>
          <w:color w:val="000000" w:themeColor="text1"/>
          <w:lang w:val="en-US"/>
        </w:rPr>
        <w:tab/>
      </w:r>
      <w:bookmarkStart w:id="0" w:name="_Hlk218576823"/>
      <w:r w:rsidRPr="00490BF0">
        <w:rPr>
          <w:rFonts w:ascii="Calibri" w:eastAsia="Times New Roman" w:hAnsi="Calibri" w:cs="Calibri"/>
          <w:b/>
          <w:color w:val="000000" w:themeColor="text1"/>
          <w:lang w:val="en-US"/>
        </w:rPr>
        <w:t xml:space="preserve">Head of </w:t>
      </w:r>
      <w:r>
        <w:rPr>
          <w:rFonts w:ascii="Calibri" w:eastAsia="Times New Roman" w:hAnsi="Calibri" w:cs="Calibri"/>
          <w:b/>
          <w:color w:val="000000" w:themeColor="text1"/>
          <w:lang w:val="en-US"/>
        </w:rPr>
        <w:t xml:space="preserve">Health, </w:t>
      </w:r>
      <w:r w:rsidRPr="00490BF0">
        <w:rPr>
          <w:rFonts w:ascii="Calibri" w:eastAsia="Times New Roman" w:hAnsi="Calibri" w:cs="Calibri"/>
          <w:b/>
          <w:color w:val="000000" w:themeColor="text1"/>
          <w:lang w:val="en-US"/>
        </w:rPr>
        <w:t>Safety</w:t>
      </w:r>
      <w:r>
        <w:rPr>
          <w:rFonts w:ascii="Calibri" w:eastAsia="Times New Roman" w:hAnsi="Calibri" w:cs="Calibri"/>
          <w:b/>
          <w:color w:val="000000" w:themeColor="text1"/>
          <w:lang w:val="en-US"/>
        </w:rPr>
        <w:t xml:space="preserve">, Quality, Environment (HSQE), and Technical </w:t>
      </w:r>
    </w:p>
    <w:p w14:paraId="1915CF5E" w14:textId="77777777" w:rsidR="00722AD4" w:rsidRPr="00490BF0" w:rsidRDefault="00722AD4" w:rsidP="008662AC">
      <w:pPr>
        <w:spacing w:after="0" w:line="240" w:lineRule="auto"/>
        <w:jc w:val="both"/>
        <w:rPr>
          <w:rFonts w:ascii="Calibri" w:eastAsia="Times New Roman" w:hAnsi="Calibri" w:cs="Calibri"/>
          <w:b/>
          <w:color w:val="000000" w:themeColor="text1"/>
          <w:lang w:val="en-US"/>
        </w:rPr>
      </w:pPr>
    </w:p>
    <w:bookmarkEnd w:id="0"/>
    <w:p w14:paraId="39C8D4CE" w14:textId="77777777" w:rsidR="008662AC" w:rsidRDefault="008662AC" w:rsidP="008662AC">
      <w:pPr>
        <w:spacing w:after="0" w:line="240" w:lineRule="auto"/>
        <w:jc w:val="both"/>
        <w:rPr>
          <w:rFonts w:ascii="Calibri" w:eastAsia="Times New Roman" w:hAnsi="Calibri" w:cs="Calibri"/>
          <w:b/>
          <w:color w:val="000000" w:themeColor="text1"/>
          <w:lang w:val="en-US"/>
        </w:rPr>
      </w:pPr>
      <w:r w:rsidRPr="00490BF0">
        <w:rPr>
          <w:rFonts w:ascii="Calibri" w:eastAsia="Times New Roman" w:hAnsi="Calibri" w:cs="Calibri"/>
          <w:b/>
          <w:color w:val="000000" w:themeColor="text1"/>
          <w:lang w:val="en-US"/>
        </w:rPr>
        <w:t>Division:</w:t>
      </w:r>
      <w:r w:rsidRPr="00490BF0">
        <w:rPr>
          <w:rFonts w:ascii="Calibri" w:eastAsia="Times New Roman" w:hAnsi="Calibri" w:cs="Calibri"/>
          <w:b/>
          <w:color w:val="000000" w:themeColor="text1"/>
          <w:lang w:val="en-US"/>
        </w:rPr>
        <w:tab/>
      </w:r>
      <w:r w:rsidRPr="00490BF0">
        <w:rPr>
          <w:rFonts w:ascii="Calibri" w:eastAsia="Times New Roman" w:hAnsi="Calibri" w:cs="Calibri"/>
          <w:b/>
          <w:color w:val="000000" w:themeColor="text1"/>
          <w:lang w:val="en-US"/>
        </w:rPr>
        <w:tab/>
      </w:r>
      <w:r w:rsidRPr="00490BF0">
        <w:rPr>
          <w:rFonts w:ascii="Calibri" w:eastAsia="Times New Roman" w:hAnsi="Calibri" w:cs="Calibri"/>
          <w:b/>
          <w:color w:val="000000" w:themeColor="text1"/>
          <w:lang w:val="en-US"/>
        </w:rPr>
        <w:tab/>
        <w:t>PHS Compliance</w:t>
      </w:r>
    </w:p>
    <w:p w14:paraId="4FAE02BF" w14:textId="77777777" w:rsidR="00722AD4" w:rsidRDefault="00722AD4" w:rsidP="008662AC">
      <w:pPr>
        <w:spacing w:after="0" w:line="240" w:lineRule="auto"/>
        <w:jc w:val="both"/>
        <w:rPr>
          <w:rFonts w:ascii="Calibri" w:eastAsia="Times New Roman" w:hAnsi="Calibri" w:cs="Calibri"/>
          <w:b/>
          <w:color w:val="000000" w:themeColor="text1"/>
          <w:lang w:val="en-US"/>
        </w:rPr>
      </w:pPr>
    </w:p>
    <w:p w14:paraId="132E3F2D" w14:textId="27829E34" w:rsidR="00722AD4" w:rsidRPr="00490BF0" w:rsidRDefault="00722AD4" w:rsidP="008662AC">
      <w:pPr>
        <w:spacing w:after="0" w:line="240" w:lineRule="auto"/>
        <w:jc w:val="both"/>
        <w:rPr>
          <w:rFonts w:ascii="Calibri" w:eastAsia="Times New Roman" w:hAnsi="Calibri" w:cs="Calibri"/>
          <w:b/>
          <w:color w:val="000000" w:themeColor="text1"/>
          <w:lang w:val="en-US"/>
        </w:rPr>
      </w:pPr>
      <w:r>
        <w:rPr>
          <w:rFonts w:ascii="Calibri" w:eastAsia="Times New Roman" w:hAnsi="Calibri" w:cs="Calibri"/>
          <w:b/>
          <w:color w:val="000000" w:themeColor="text1"/>
          <w:lang w:val="en-US"/>
        </w:rPr>
        <w:t>Location:</w:t>
      </w:r>
      <w:r>
        <w:rPr>
          <w:rFonts w:ascii="Calibri" w:eastAsia="Times New Roman" w:hAnsi="Calibri" w:cs="Calibri"/>
          <w:b/>
          <w:color w:val="000000" w:themeColor="text1"/>
          <w:lang w:val="en-US"/>
        </w:rPr>
        <w:tab/>
      </w:r>
      <w:r>
        <w:rPr>
          <w:rFonts w:ascii="Calibri" w:eastAsia="Times New Roman" w:hAnsi="Calibri" w:cs="Calibri"/>
          <w:b/>
          <w:color w:val="000000" w:themeColor="text1"/>
          <w:lang w:val="en-US"/>
        </w:rPr>
        <w:tab/>
      </w:r>
      <w:r>
        <w:rPr>
          <w:rFonts w:ascii="Calibri" w:eastAsia="Times New Roman" w:hAnsi="Calibri" w:cs="Calibri"/>
          <w:b/>
          <w:color w:val="000000" w:themeColor="text1"/>
          <w:lang w:val="en-US"/>
        </w:rPr>
        <w:tab/>
        <w:t>Golborne Office Warrington – with National Travel</w:t>
      </w:r>
    </w:p>
    <w:p w14:paraId="6898C524" w14:textId="77777777" w:rsidR="008662AC" w:rsidRPr="00490BF0" w:rsidRDefault="008662AC" w:rsidP="008662AC">
      <w:pPr>
        <w:spacing w:after="0" w:line="240" w:lineRule="auto"/>
        <w:jc w:val="both"/>
        <w:rPr>
          <w:rFonts w:ascii="Calibri" w:eastAsia="Times New Roman" w:hAnsi="Calibri" w:cs="Calibri"/>
          <w:b/>
          <w:color w:val="000000" w:themeColor="text1"/>
          <w:lang w:val="en-US"/>
        </w:rPr>
      </w:pPr>
    </w:p>
    <w:p w14:paraId="47CFDBE8" w14:textId="77777777" w:rsidR="008662AC" w:rsidRPr="00490BF0" w:rsidRDefault="008662AC" w:rsidP="008662AC">
      <w:pPr>
        <w:spacing w:after="0" w:line="240" w:lineRule="auto"/>
        <w:jc w:val="both"/>
        <w:rPr>
          <w:rFonts w:ascii="Calibri" w:eastAsia="Times New Roman" w:hAnsi="Calibri" w:cs="Calibri"/>
          <w:b/>
          <w:color w:val="000000" w:themeColor="text1"/>
          <w:lang w:val="en-US"/>
        </w:rPr>
      </w:pPr>
      <w:r w:rsidRPr="00490BF0">
        <w:rPr>
          <w:rFonts w:ascii="Calibri" w:eastAsia="Times New Roman" w:hAnsi="Calibri" w:cs="Calibri"/>
          <w:b/>
          <w:color w:val="000000" w:themeColor="text1"/>
          <w:lang w:val="en-US"/>
        </w:rPr>
        <w:t>Reports To:</w:t>
      </w:r>
      <w:r w:rsidRPr="00490BF0">
        <w:rPr>
          <w:rFonts w:ascii="Calibri" w:eastAsia="Times New Roman" w:hAnsi="Calibri" w:cs="Calibri"/>
          <w:b/>
          <w:color w:val="000000" w:themeColor="text1"/>
          <w:lang w:val="en-US"/>
        </w:rPr>
        <w:tab/>
      </w:r>
      <w:r w:rsidRPr="00490BF0">
        <w:rPr>
          <w:rFonts w:ascii="Calibri" w:eastAsia="Times New Roman" w:hAnsi="Calibri" w:cs="Calibri"/>
          <w:b/>
          <w:color w:val="000000" w:themeColor="text1"/>
          <w:lang w:val="en-US"/>
        </w:rPr>
        <w:tab/>
      </w:r>
      <w:r w:rsidRPr="00490BF0">
        <w:rPr>
          <w:rFonts w:ascii="Calibri" w:eastAsia="Times New Roman" w:hAnsi="Calibri" w:cs="Calibri"/>
          <w:b/>
          <w:color w:val="000000" w:themeColor="text1"/>
          <w:lang w:val="en-US"/>
        </w:rPr>
        <w:tab/>
        <w:t>Operations Director</w:t>
      </w:r>
    </w:p>
    <w:p w14:paraId="0C34275B" w14:textId="77777777" w:rsidR="008662AC" w:rsidRPr="00490BF0" w:rsidRDefault="008662AC" w:rsidP="008662AC">
      <w:pPr>
        <w:keepNext/>
        <w:spacing w:after="0" w:line="240" w:lineRule="auto"/>
        <w:jc w:val="both"/>
        <w:outlineLvl w:val="5"/>
        <w:rPr>
          <w:rFonts w:ascii="Calibri" w:eastAsia="Times New Roman" w:hAnsi="Calibri" w:cs="Calibri"/>
          <w:b/>
          <w:color w:val="000000" w:themeColor="text1"/>
          <w:u w:val="single"/>
          <w:lang w:val="en-US"/>
        </w:rPr>
      </w:pPr>
    </w:p>
    <w:p w14:paraId="47D679E4" w14:textId="77777777" w:rsidR="008662AC" w:rsidRDefault="008662AC" w:rsidP="008662AC">
      <w:pPr>
        <w:pStyle w:val="NoSpacing"/>
        <w:jc w:val="both"/>
        <w:rPr>
          <w:rFonts w:ascii="Calibri" w:hAnsi="Calibri" w:cs="Calibri"/>
          <w:b/>
          <w:bCs/>
          <w:color w:val="000000" w:themeColor="text1"/>
        </w:rPr>
      </w:pPr>
    </w:p>
    <w:p w14:paraId="0A0F03A3" w14:textId="77777777" w:rsidR="008662AC" w:rsidRDefault="008662AC" w:rsidP="008662AC">
      <w:pPr>
        <w:pStyle w:val="NoSpacing"/>
        <w:jc w:val="both"/>
        <w:rPr>
          <w:rFonts w:ascii="Calibri" w:hAnsi="Calibri" w:cs="Calibri"/>
          <w:b/>
          <w:bCs/>
          <w:color w:val="000000" w:themeColor="text1"/>
        </w:rPr>
      </w:pPr>
    </w:p>
    <w:p w14:paraId="7D0B3597" w14:textId="77777777" w:rsidR="008662AC" w:rsidRPr="008662AC" w:rsidRDefault="008662AC" w:rsidP="008662AC">
      <w:pPr>
        <w:pStyle w:val="NoSpacing"/>
        <w:jc w:val="both"/>
        <w:rPr>
          <w:rFonts w:ascii="Calibri" w:hAnsi="Calibri" w:cs="Calibri"/>
          <w:b/>
          <w:bCs/>
          <w:color w:val="000000" w:themeColor="text1"/>
          <w:u w:val="single"/>
        </w:rPr>
      </w:pPr>
      <w:bookmarkStart w:id="1" w:name="_Hlk218521199"/>
      <w:r w:rsidRPr="008662AC">
        <w:rPr>
          <w:rFonts w:ascii="Calibri" w:hAnsi="Calibri" w:cs="Calibri"/>
          <w:b/>
          <w:bCs/>
          <w:color w:val="000000" w:themeColor="text1"/>
          <w:u w:val="single"/>
        </w:rPr>
        <w:t xml:space="preserve">About </w:t>
      </w:r>
      <w:proofErr w:type="spellStart"/>
      <w:r w:rsidRPr="008662AC">
        <w:rPr>
          <w:rFonts w:ascii="Calibri" w:hAnsi="Calibri" w:cs="Calibri"/>
          <w:b/>
          <w:bCs/>
          <w:color w:val="000000" w:themeColor="text1"/>
          <w:u w:val="single"/>
        </w:rPr>
        <w:t>phs</w:t>
      </w:r>
      <w:proofErr w:type="spellEnd"/>
    </w:p>
    <w:p w14:paraId="29B43D55" w14:textId="77777777" w:rsidR="008662AC" w:rsidRPr="008662AC" w:rsidRDefault="008662AC" w:rsidP="008662AC">
      <w:pPr>
        <w:pStyle w:val="NoSpacing"/>
        <w:jc w:val="both"/>
        <w:rPr>
          <w:rFonts w:ascii="Calibri" w:hAnsi="Calibri" w:cs="Calibri"/>
          <w:b/>
          <w:bCs/>
          <w:color w:val="000000" w:themeColor="text1"/>
        </w:rPr>
      </w:pPr>
    </w:p>
    <w:p w14:paraId="3213D698" w14:textId="77777777" w:rsidR="008662AC" w:rsidRPr="00803F26" w:rsidRDefault="008662AC" w:rsidP="008662AC">
      <w:pPr>
        <w:pStyle w:val="NoSpacing"/>
        <w:jc w:val="both"/>
        <w:rPr>
          <w:rFonts w:ascii="Calibri" w:hAnsi="Calibri" w:cs="Calibri"/>
          <w:color w:val="000000" w:themeColor="text1"/>
        </w:rPr>
      </w:pPr>
      <w:proofErr w:type="spellStart"/>
      <w:r w:rsidRPr="00803F26">
        <w:rPr>
          <w:rFonts w:ascii="Calibri" w:hAnsi="Calibri" w:cs="Calibri"/>
          <w:color w:val="000000" w:themeColor="text1"/>
        </w:rPr>
        <w:t>phs</w:t>
      </w:r>
      <w:proofErr w:type="spellEnd"/>
      <w:r w:rsidRPr="00803F26">
        <w:rPr>
          <w:rFonts w:ascii="Calibri" w:hAnsi="Calibri" w:cs="Calibri"/>
          <w:color w:val="000000" w:themeColor="text1"/>
        </w:rPr>
        <w:t xml:space="preserve"> Group are the leading hygiene services provider in the UK, Spain, and Ireland. With over 120,000 customers in over 300,000 locations, supporting everything from restaurants to offices, and from hospitals to schools, we meet the needs of up to 100 million people.</w:t>
      </w:r>
    </w:p>
    <w:p w14:paraId="3E1C5F0F" w14:textId="600E49BF" w:rsidR="008662AC" w:rsidRPr="00803F26" w:rsidRDefault="008662AC" w:rsidP="008662AC">
      <w:pPr>
        <w:pStyle w:val="NoSpacing"/>
        <w:jc w:val="both"/>
        <w:rPr>
          <w:rFonts w:ascii="Calibri" w:hAnsi="Calibri" w:cs="Calibri"/>
          <w:color w:val="000000" w:themeColor="text1"/>
        </w:rPr>
      </w:pPr>
      <w:r w:rsidRPr="00803F26">
        <w:rPr>
          <w:rFonts w:ascii="Calibri" w:hAnsi="Calibri" w:cs="Calibri"/>
          <w:color w:val="000000" w:themeColor="text1"/>
        </w:rPr>
        <w:t xml:space="preserve">Our core business is healthcare, washroom and floorcare hygiene, but alongside our hygiene experts we have several specialist businesses meeting the needs of specific organisations. We’re seeking a dynamic, hands-on Head of HSQE and </w:t>
      </w:r>
      <w:r w:rsidR="003F57A9" w:rsidRPr="00803F26">
        <w:rPr>
          <w:rFonts w:ascii="Calibri" w:hAnsi="Calibri" w:cs="Calibri"/>
          <w:color w:val="000000" w:themeColor="text1"/>
        </w:rPr>
        <w:t>Technical who</w:t>
      </w:r>
      <w:r w:rsidRPr="00803F26">
        <w:rPr>
          <w:rFonts w:ascii="Calibri" w:hAnsi="Calibri" w:cs="Calibri"/>
          <w:color w:val="000000" w:themeColor="text1"/>
        </w:rPr>
        <w:t xml:space="preserve"> can drive and deliver safety practises and “get stuff done” but also help build and deliver our longer-term strategic plan – to support Compliance being the market leading business in the</w:t>
      </w:r>
      <w:r>
        <w:rPr>
          <w:rFonts w:ascii="Calibri" w:hAnsi="Calibri" w:cs="Calibri"/>
          <w:color w:val="000000" w:themeColor="text1"/>
        </w:rPr>
        <w:t xml:space="preserve"> facilities management compliance sector.</w:t>
      </w:r>
    </w:p>
    <w:bookmarkEnd w:id="1"/>
    <w:p w14:paraId="6177941F" w14:textId="77777777" w:rsidR="008662AC" w:rsidRDefault="008662AC" w:rsidP="008662AC">
      <w:pPr>
        <w:pStyle w:val="NoSpacing"/>
        <w:jc w:val="both"/>
        <w:rPr>
          <w:rFonts w:ascii="Calibri" w:hAnsi="Calibri" w:cs="Calibri"/>
          <w:b/>
          <w:bCs/>
          <w:color w:val="000000" w:themeColor="text1"/>
        </w:rPr>
      </w:pPr>
    </w:p>
    <w:p w14:paraId="437A42A7" w14:textId="77777777" w:rsidR="008662AC" w:rsidRPr="008662AC" w:rsidRDefault="008662AC" w:rsidP="008662AC">
      <w:pPr>
        <w:pStyle w:val="NoSpacing"/>
        <w:jc w:val="both"/>
        <w:rPr>
          <w:rFonts w:ascii="Calibri" w:hAnsi="Calibri" w:cs="Calibri"/>
          <w:b/>
          <w:bCs/>
          <w:color w:val="000000" w:themeColor="text1"/>
          <w:u w:val="single"/>
        </w:rPr>
      </w:pPr>
      <w:bookmarkStart w:id="2" w:name="_Hlk218576856"/>
      <w:r w:rsidRPr="008662AC">
        <w:rPr>
          <w:rFonts w:ascii="Calibri" w:hAnsi="Calibri" w:cs="Calibri"/>
          <w:b/>
          <w:bCs/>
          <w:color w:val="000000" w:themeColor="text1"/>
          <w:u w:val="single"/>
        </w:rPr>
        <w:t>About Compliance</w:t>
      </w:r>
    </w:p>
    <w:p w14:paraId="0E0BF825" w14:textId="77777777" w:rsidR="008662AC" w:rsidRPr="00F65C37" w:rsidRDefault="008662AC" w:rsidP="008662AC">
      <w:pPr>
        <w:pStyle w:val="NoSpacing"/>
        <w:jc w:val="both"/>
        <w:rPr>
          <w:rFonts w:ascii="Calibri" w:hAnsi="Calibri" w:cs="Calibri"/>
          <w:b/>
          <w:bCs/>
          <w:color w:val="000000" w:themeColor="text1"/>
        </w:rPr>
      </w:pPr>
    </w:p>
    <w:p w14:paraId="1EA0F9E5" w14:textId="414962C7" w:rsidR="008662AC" w:rsidRPr="008662AC" w:rsidRDefault="008662AC" w:rsidP="008662AC">
      <w:pPr>
        <w:pStyle w:val="NoSpacing"/>
        <w:jc w:val="both"/>
        <w:rPr>
          <w:rFonts w:ascii="Calibri" w:hAnsi="Calibri" w:cs="Calibri"/>
          <w:color w:val="000000" w:themeColor="text1"/>
        </w:rPr>
      </w:pPr>
      <w:proofErr w:type="spellStart"/>
      <w:r w:rsidRPr="008662AC">
        <w:rPr>
          <w:rFonts w:ascii="Calibri" w:hAnsi="Calibri" w:cs="Calibri"/>
          <w:color w:val="000000" w:themeColor="text1"/>
        </w:rPr>
        <w:t>phs</w:t>
      </w:r>
      <w:proofErr w:type="spellEnd"/>
      <w:r w:rsidRPr="008662AC">
        <w:rPr>
          <w:rFonts w:ascii="Calibri" w:hAnsi="Calibri" w:cs="Calibri"/>
          <w:color w:val="000000" w:themeColor="text1"/>
        </w:rPr>
        <w:t> Compliance is the UK's leading provider of statutory electrical fire safety testing and remedial services, keeping businesses and public sector organisations of all sizes safe and compliant with the latest statutory safety regulations. From business engineering services to compliance engineering, we have everything you need to meet your workplace safety compliance requirements and receive the appropriate building regulations statutory inspections compliance certificate.</w:t>
      </w:r>
    </w:p>
    <w:bookmarkEnd w:id="2"/>
    <w:p w14:paraId="023FF741" w14:textId="77777777" w:rsidR="008662AC" w:rsidRDefault="008662AC" w:rsidP="008662AC">
      <w:pPr>
        <w:pStyle w:val="NoSpacing"/>
        <w:jc w:val="both"/>
        <w:rPr>
          <w:rFonts w:ascii="Calibri" w:hAnsi="Calibri" w:cs="Calibri"/>
          <w:b/>
          <w:bCs/>
          <w:color w:val="000000" w:themeColor="text1"/>
        </w:rPr>
      </w:pPr>
    </w:p>
    <w:p w14:paraId="0FECE4E0" w14:textId="77777777" w:rsidR="008662AC" w:rsidRDefault="008662AC" w:rsidP="008662AC">
      <w:pPr>
        <w:pStyle w:val="NoSpacing"/>
        <w:jc w:val="both"/>
        <w:rPr>
          <w:rFonts w:ascii="Calibri" w:hAnsi="Calibri" w:cs="Calibri"/>
          <w:b/>
          <w:bCs/>
          <w:color w:val="000000" w:themeColor="text1"/>
        </w:rPr>
      </w:pPr>
    </w:p>
    <w:p w14:paraId="209F80B6" w14:textId="77777777" w:rsidR="008662AC" w:rsidRPr="008662AC" w:rsidRDefault="008662AC" w:rsidP="008662AC">
      <w:pPr>
        <w:pStyle w:val="NoSpacing"/>
        <w:jc w:val="both"/>
        <w:rPr>
          <w:rFonts w:ascii="Calibri" w:hAnsi="Calibri" w:cs="Calibri"/>
          <w:b/>
          <w:bCs/>
          <w:color w:val="000000" w:themeColor="text1"/>
          <w:u w:val="single"/>
        </w:rPr>
      </w:pPr>
      <w:r w:rsidRPr="008662AC">
        <w:rPr>
          <w:rFonts w:ascii="Calibri" w:hAnsi="Calibri" w:cs="Calibri"/>
          <w:b/>
          <w:bCs/>
          <w:color w:val="000000" w:themeColor="text1"/>
          <w:u w:val="single"/>
        </w:rPr>
        <w:t>Purpose of the Role</w:t>
      </w:r>
    </w:p>
    <w:p w14:paraId="22199AA3" w14:textId="77777777" w:rsidR="008662AC" w:rsidRPr="008662AC" w:rsidRDefault="008662AC" w:rsidP="008662AC">
      <w:pPr>
        <w:pStyle w:val="NoSpacing"/>
        <w:jc w:val="both"/>
        <w:rPr>
          <w:rFonts w:ascii="Calibri" w:hAnsi="Calibri" w:cs="Calibri"/>
          <w:color w:val="000000" w:themeColor="text1"/>
        </w:rPr>
      </w:pPr>
    </w:p>
    <w:p w14:paraId="4B4E34DC" w14:textId="6B3F40C6" w:rsidR="008662AC" w:rsidRPr="008662AC" w:rsidRDefault="008662AC" w:rsidP="008662AC">
      <w:pPr>
        <w:pStyle w:val="NoSpacing"/>
        <w:jc w:val="both"/>
        <w:rPr>
          <w:rFonts w:ascii="Calibri" w:hAnsi="Calibri" w:cs="Calibri"/>
          <w:color w:val="000000" w:themeColor="text1"/>
        </w:rPr>
      </w:pPr>
      <w:bookmarkStart w:id="3" w:name="_Hlk218576873"/>
      <w:r w:rsidRPr="008662AC">
        <w:rPr>
          <w:rFonts w:ascii="Calibri" w:hAnsi="Calibri" w:cs="Calibri"/>
          <w:color w:val="000000" w:themeColor="text1"/>
        </w:rPr>
        <w:t>Reporting directly to the Operations Director, the Head of HSQE and Technical for Compliance will be responsible for inspiring, leading, motivating and developing the HSQE and technical training to the operational teams of Compliance to ensure they deliver exceptional standards of compliance and operational excellence. They will also be accountable for shaping the future compliance and training strategy, ensuring alignment across the business to maintain the highest levels of health, safety, quality, and environmental performance.</w:t>
      </w:r>
    </w:p>
    <w:p w14:paraId="124EA701" w14:textId="74A4EB88" w:rsidR="008662AC" w:rsidRPr="008662AC" w:rsidRDefault="008662AC" w:rsidP="008662AC">
      <w:pPr>
        <w:pStyle w:val="NoSpacing"/>
        <w:jc w:val="both"/>
        <w:rPr>
          <w:rFonts w:ascii="Calibri" w:hAnsi="Calibri" w:cs="Calibri"/>
          <w:color w:val="000000" w:themeColor="text1"/>
        </w:rPr>
      </w:pPr>
      <w:r w:rsidRPr="008662AC">
        <w:rPr>
          <w:rFonts w:ascii="Calibri" w:hAnsi="Calibri" w:cs="Calibri"/>
          <w:color w:val="000000" w:themeColor="text1"/>
        </w:rPr>
        <w:t>The role carries direct operational leadership responsibility for HSQE functions, compliance frameworks, and technical within Compliance. The successful candidate will also be expected to provide overall functional leadership and support, fostering a collaborative culture and driving continuous improvement initiatives across all areas of the business</w:t>
      </w:r>
    </w:p>
    <w:bookmarkEnd w:id="3"/>
    <w:p w14:paraId="611FBD84" w14:textId="77777777" w:rsidR="008662AC" w:rsidRPr="00490BF0" w:rsidRDefault="008662AC" w:rsidP="008662AC">
      <w:pPr>
        <w:pStyle w:val="NoSpacing"/>
        <w:jc w:val="both"/>
        <w:rPr>
          <w:rFonts w:ascii="Calibri" w:hAnsi="Calibri" w:cs="Calibri"/>
          <w:color w:val="000000" w:themeColor="text1"/>
        </w:rPr>
      </w:pPr>
    </w:p>
    <w:p w14:paraId="19B66877" w14:textId="57F5030C" w:rsidR="008662AC" w:rsidRDefault="008662AC" w:rsidP="008662AC">
      <w:pPr>
        <w:pStyle w:val="NoSpacing"/>
        <w:jc w:val="both"/>
        <w:rPr>
          <w:rFonts w:ascii="Calibri" w:hAnsi="Calibri" w:cs="Calibri"/>
          <w:color w:val="000000" w:themeColor="text1"/>
        </w:rPr>
      </w:pPr>
      <w:r w:rsidRPr="00490BF0">
        <w:rPr>
          <w:rFonts w:ascii="Calibri" w:hAnsi="Calibri" w:cs="Calibri"/>
          <w:color w:val="000000" w:themeColor="text1"/>
        </w:rPr>
        <w:t xml:space="preserve">To understand interpret and apply relevant laws, regulations, certifications and </w:t>
      </w:r>
      <w:bookmarkStart w:id="4" w:name="_Hlk218609247"/>
      <w:r w:rsidRPr="00490BF0">
        <w:rPr>
          <w:rFonts w:ascii="Calibri" w:hAnsi="Calibri" w:cs="Calibri"/>
          <w:color w:val="000000" w:themeColor="text1"/>
        </w:rPr>
        <w:t>best practice</w:t>
      </w:r>
      <w:r w:rsidR="00153FDC">
        <w:rPr>
          <w:rFonts w:ascii="Calibri" w:hAnsi="Calibri" w:cs="Calibri"/>
          <w:color w:val="000000" w:themeColor="text1"/>
        </w:rPr>
        <w:t xml:space="preserve"> including technologies, systems and processes</w:t>
      </w:r>
      <w:r w:rsidRPr="00490BF0">
        <w:rPr>
          <w:rFonts w:ascii="Calibri" w:hAnsi="Calibri" w:cs="Calibri"/>
          <w:color w:val="000000" w:themeColor="text1"/>
        </w:rPr>
        <w:t xml:space="preserve"> and to support</w:t>
      </w:r>
      <w:r w:rsidR="00153FDC">
        <w:rPr>
          <w:rFonts w:ascii="Calibri" w:hAnsi="Calibri" w:cs="Calibri"/>
          <w:color w:val="000000" w:themeColor="text1"/>
        </w:rPr>
        <w:t xml:space="preserve"> the business </w:t>
      </w:r>
      <w:r w:rsidRPr="00490BF0">
        <w:rPr>
          <w:rFonts w:ascii="Calibri" w:hAnsi="Calibri" w:cs="Calibri"/>
          <w:color w:val="000000" w:themeColor="text1"/>
        </w:rPr>
        <w:t>in their effective implementation</w:t>
      </w:r>
      <w:bookmarkEnd w:id="4"/>
      <w:r>
        <w:rPr>
          <w:rFonts w:ascii="Calibri" w:hAnsi="Calibri" w:cs="Calibri"/>
          <w:color w:val="000000" w:themeColor="text1"/>
        </w:rPr>
        <w:t>.</w:t>
      </w:r>
      <w:r w:rsidRPr="00490BF0">
        <w:rPr>
          <w:rFonts w:ascii="Calibri" w:hAnsi="Calibri" w:cs="Calibri"/>
          <w:color w:val="000000" w:themeColor="text1"/>
        </w:rPr>
        <w:t xml:space="preserve"> </w:t>
      </w:r>
    </w:p>
    <w:p w14:paraId="05D26C35" w14:textId="77777777" w:rsidR="008662AC" w:rsidRPr="00490BF0" w:rsidRDefault="008662AC" w:rsidP="008662AC">
      <w:pPr>
        <w:pStyle w:val="NoSpacing"/>
        <w:jc w:val="both"/>
        <w:rPr>
          <w:rFonts w:ascii="Calibri" w:hAnsi="Calibri" w:cs="Calibri"/>
          <w:color w:val="000000" w:themeColor="text1"/>
        </w:rPr>
      </w:pPr>
    </w:p>
    <w:p w14:paraId="748DF1F6" w14:textId="77777777" w:rsidR="008662AC" w:rsidRDefault="008662AC" w:rsidP="008662AC">
      <w:pPr>
        <w:pStyle w:val="NoSpacing"/>
        <w:jc w:val="both"/>
        <w:rPr>
          <w:rFonts w:ascii="Calibri" w:hAnsi="Calibri" w:cs="Calibri"/>
          <w:color w:val="000000" w:themeColor="text1"/>
        </w:rPr>
      </w:pPr>
      <w:r w:rsidRPr="00490BF0">
        <w:rPr>
          <w:rFonts w:ascii="Calibri" w:hAnsi="Calibri" w:cs="Calibri"/>
          <w:color w:val="000000" w:themeColor="text1"/>
        </w:rPr>
        <w:t>To develop strong and effective working relationships with the Group Health and Safety and Learning and Development teams</w:t>
      </w:r>
      <w:r>
        <w:rPr>
          <w:rFonts w:ascii="Calibri" w:hAnsi="Calibri" w:cs="Calibri"/>
          <w:color w:val="000000" w:themeColor="text1"/>
        </w:rPr>
        <w:t>.</w:t>
      </w:r>
    </w:p>
    <w:p w14:paraId="57DD7E43" w14:textId="77777777" w:rsidR="00153FDC" w:rsidRDefault="00153FDC" w:rsidP="008662AC">
      <w:pPr>
        <w:pStyle w:val="NoSpacing"/>
        <w:jc w:val="both"/>
        <w:rPr>
          <w:rFonts w:ascii="Calibri" w:hAnsi="Calibri" w:cs="Calibri"/>
          <w:color w:val="000000" w:themeColor="text1"/>
        </w:rPr>
      </w:pPr>
    </w:p>
    <w:p w14:paraId="048859DD" w14:textId="77777777" w:rsidR="008662AC" w:rsidRPr="00490BF0" w:rsidRDefault="008662AC" w:rsidP="008662AC">
      <w:pPr>
        <w:pStyle w:val="NoSpacing"/>
        <w:jc w:val="both"/>
        <w:rPr>
          <w:rFonts w:ascii="Calibri" w:hAnsi="Calibri" w:cs="Calibri"/>
          <w:color w:val="000000" w:themeColor="text1"/>
        </w:rPr>
      </w:pPr>
    </w:p>
    <w:p w14:paraId="299180E7" w14:textId="77777777" w:rsidR="00DB3AC5" w:rsidRDefault="00DB3AC5" w:rsidP="008662AC">
      <w:pPr>
        <w:pStyle w:val="NoSpacing"/>
        <w:jc w:val="both"/>
        <w:rPr>
          <w:rFonts w:ascii="Calibri" w:hAnsi="Calibri" w:cs="Calibri"/>
          <w:b/>
          <w:color w:val="000000" w:themeColor="text1"/>
          <w:u w:val="single"/>
        </w:rPr>
      </w:pPr>
    </w:p>
    <w:p w14:paraId="7DEC318C" w14:textId="3D0FFE09" w:rsidR="008662AC" w:rsidRPr="00490BF0" w:rsidRDefault="008662AC" w:rsidP="008662AC">
      <w:pPr>
        <w:pStyle w:val="NoSpacing"/>
        <w:jc w:val="both"/>
        <w:rPr>
          <w:rFonts w:ascii="Calibri" w:hAnsi="Calibri" w:cs="Calibri"/>
          <w:b/>
          <w:color w:val="000000" w:themeColor="text1"/>
          <w:u w:val="single"/>
        </w:rPr>
      </w:pPr>
      <w:r w:rsidRPr="00490BF0">
        <w:rPr>
          <w:rFonts w:ascii="Calibri" w:hAnsi="Calibri" w:cs="Calibri"/>
          <w:b/>
          <w:color w:val="000000" w:themeColor="text1"/>
          <w:u w:val="single"/>
        </w:rPr>
        <w:t>Key Responsibilities:</w:t>
      </w:r>
    </w:p>
    <w:p w14:paraId="6935C5E3" w14:textId="77777777" w:rsidR="008662AC" w:rsidRPr="00490BF0"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 xml:space="preserve">Develop and deliver a Health, Safety, technical service quality and Environment strategy, that delivers the sustainable development and corporate social responsibility standards at PHS. </w:t>
      </w:r>
    </w:p>
    <w:p w14:paraId="4EF58362" w14:textId="77777777" w:rsidR="008662AC" w:rsidRPr="00490BF0"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 xml:space="preserve">Lead all H&amp;S activity within </w:t>
      </w:r>
      <w:proofErr w:type="spellStart"/>
      <w:r w:rsidRPr="00490BF0">
        <w:rPr>
          <w:rFonts w:ascii="Calibri" w:hAnsi="Calibri" w:cs="Calibri"/>
          <w:color w:val="000000" w:themeColor="text1"/>
        </w:rPr>
        <w:t>phs</w:t>
      </w:r>
      <w:proofErr w:type="spellEnd"/>
      <w:r w:rsidRPr="00490BF0">
        <w:rPr>
          <w:rFonts w:ascii="Calibri" w:hAnsi="Calibri" w:cs="Calibri"/>
          <w:color w:val="000000" w:themeColor="text1"/>
        </w:rPr>
        <w:t xml:space="preserve"> Compliance.</w:t>
      </w:r>
    </w:p>
    <w:p w14:paraId="3BBE3259" w14:textId="77777777" w:rsidR="008662AC" w:rsidRPr="00490BF0"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Actively monitor employee engagement and participation in safety compliance.</w:t>
      </w:r>
    </w:p>
    <w:p w14:paraId="0A9E61D1" w14:textId="77777777" w:rsidR="008662AC" w:rsidRPr="00490BF0"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Incident investigation review and root cause analysis.</w:t>
      </w:r>
    </w:p>
    <w:p w14:paraId="791B4E76" w14:textId="77777777" w:rsidR="008662AC" w:rsidRPr="00490BF0"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 xml:space="preserve">Proactively contribute to training activities in relation to quality, health, safety and environmental management. </w:t>
      </w:r>
    </w:p>
    <w:p w14:paraId="279E0645" w14:textId="77777777" w:rsidR="008662AC" w:rsidRPr="00490BF0"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Promote management ownership of the PHS Compliance safety, environmental and quality management system, working in collaboration with the Group HSQE.</w:t>
      </w:r>
    </w:p>
    <w:p w14:paraId="74635337" w14:textId="77777777" w:rsidR="008662AC" w:rsidRPr="00490BF0"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 xml:space="preserve">Understand all safety, environmental and product legislation applicable to the business, and support site teams with guidance to comply. </w:t>
      </w:r>
    </w:p>
    <w:p w14:paraId="217C5021" w14:textId="77777777" w:rsidR="008662AC" w:rsidRPr="00490BF0" w:rsidRDefault="008662AC" w:rsidP="008662AC">
      <w:pPr>
        <w:numPr>
          <w:ilvl w:val="0"/>
          <w:numId w:val="1"/>
        </w:numPr>
        <w:spacing w:after="160" w:line="259" w:lineRule="auto"/>
        <w:rPr>
          <w:rFonts w:ascii="Calibri" w:hAnsi="Calibri" w:cs="Calibri"/>
          <w:color w:val="000000" w:themeColor="text1"/>
        </w:rPr>
      </w:pPr>
      <w:r w:rsidRPr="0033459C">
        <w:rPr>
          <w:rFonts w:ascii="Calibri" w:hAnsi="Calibri" w:cs="Calibri"/>
          <w:color w:val="000000" w:themeColor="text1"/>
        </w:rPr>
        <w:t>Develop, implement, and maintai</w:t>
      </w:r>
      <w:r w:rsidRPr="00490BF0">
        <w:rPr>
          <w:rFonts w:ascii="Calibri" w:hAnsi="Calibri" w:cs="Calibri"/>
          <w:color w:val="000000" w:themeColor="text1"/>
        </w:rPr>
        <w:t xml:space="preserve">n </w:t>
      </w:r>
      <w:r w:rsidRPr="0033459C">
        <w:rPr>
          <w:rFonts w:ascii="Calibri" w:hAnsi="Calibri" w:cs="Calibri"/>
          <w:color w:val="000000" w:themeColor="text1"/>
        </w:rPr>
        <w:t>safety policies, procedures, and safe systems of work.</w:t>
      </w:r>
      <w:r w:rsidRPr="00490BF0">
        <w:rPr>
          <w:rFonts w:ascii="Calibri" w:hAnsi="Calibri" w:cs="Calibri"/>
          <w:color w:val="000000" w:themeColor="text1"/>
        </w:rPr>
        <w:t xml:space="preserve"> </w:t>
      </w:r>
    </w:p>
    <w:p w14:paraId="391AD23D" w14:textId="77777777" w:rsidR="008662AC" w:rsidRPr="00490BF0"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Provide internal audits that meet ISO standard requirements in relation to safety, quality and environmental matters.</w:t>
      </w:r>
    </w:p>
    <w:p w14:paraId="5500363D" w14:textId="77777777" w:rsidR="008662AC" w:rsidRPr="00490BF0"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Support teams during external accreditation audits including but not limited to ISO 9001, ISO 45001, ISO 9001, CHAS and Safe contractor as per the organisation’s requirement.</w:t>
      </w:r>
    </w:p>
    <w:p w14:paraId="69050CC9" w14:textId="1DB69D3C" w:rsidR="008662AC" w:rsidRPr="008662AC"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 xml:space="preserve">Ensuring all mandatory H&amp;S training is up to date </w:t>
      </w:r>
    </w:p>
    <w:p w14:paraId="7F9FB43E" w14:textId="527F0A3E" w:rsidR="008662AC" w:rsidRPr="008662AC" w:rsidRDefault="008662AC" w:rsidP="008662AC">
      <w:pPr>
        <w:pStyle w:val="Default"/>
        <w:numPr>
          <w:ilvl w:val="0"/>
          <w:numId w:val="1"/>
        </w:numPr>
        <w:rPr>
          <w:rFonts w:ascii="Calibri" w:hAnsi="Calibri" w:cs="Calibri"/>
          <w:color w:val="000000" w:themeColor="text1"/>
          <w:sz w:val="22"/>
          <w:szCs w:val="22"/>
        </w:rPr>
      </w:pPr>
      <w:r w:rsidRPr="00490BF0">
        <w:rPr>
          <w:rFonts w:ascii="Calibri" w:hAnsi="Calibri" w:cs="Calibri"/>
          <w:color w:val="000000" w:themeColor="text1"/>
          <w:sz w:val="22"/>
          <w:szCs w:val="22"/>
        </w:rPr>
        <w:t>Effectively manage the organisation’s technical function to ensure best practices are followed, SOPs implemented and a robust internal quality audit and technical verification schedule is implemented and adhered to aligned with British standard and management system requirements.</w:t>
      </w:r>
    </w:p>
    <w:p w14:paraId="292442A5" w14:textId="346A7133" w:rsidR="008662AC" w:rsidRPr="008662AC" w:rsidRDefault="008662AC" w:rsidP="008662AC">
      <w:pPr>
        <w:pStyle w:val="Default"/>
        <w:numPr>
          <w:ilvl w:val="0"/>
          <w:numId w:val="1"/>
        </w:numPr>
        <w:rPr>
          <w:rFonts w:ascii="Calibri" w:hAnsi="Calibri" w:cs="Calibri"/>
          <w:color w:val="000000" w:themeColor="text1"/>
          <w:sz w:val="22"/>
          <w:szCs w:val="22"/>
        </w:rPr>
      </w:pPr>
      <w:r w:rsidRPr="00490BF0">
        <w:rPr>
          <w:rFonts w:ascii="Calibri" w:hAnsi="Calibri" w:cs="Calibri"/>
          <w:color w:val="000000" w:themeColor="text1"/>
          <w:sz w:val="22"/>
          <w:szCs w:val="22"/>
        </w:rPr>
        <w:t>Ownership and record of all technical certification qualifications across the organisation to ensure requirements are met for all roles of employment.</w:t>
      </w:r>
    </w:p>
    <w:p w14:paraId="58684AC5" w14:textId="277754AA" w:rsidR="008662AC" w:rsidRPr="008662AC" w:rsidRDefault="008662AC" w:rsidP="008662AC">
      <w:pPr>
        <w:pStyle w:val="Default"/>
        <w:numPr>
          <w:ilvl w:val="0"/>
          <w:numId w:val="1"/>
        </w:numPr>
        <w:rPr>
          <w:rFonts w:ascii="Calibri" w:hAnsi="Calibri" w:cs="Calibri"/>
          <w:color w:val="000000" w:themeColor="text1"/>
          <w:sz w:val="22"/>
          <w:szCs w:val="22"/>
        </w:rPr>
      </w:pPr>
      <w:r w:rsidRPr="00490BF0">
        <w:rPr>
          <w:rFonts w:ascii="Calibri" w:hAnsi="Calibri" w:cs="Calibri"/>
          <w:color w:val="000000" w:themeColor="text1"/>
          <w:sz w:val="22"/>
          <w:szCs w:val="22"/>
        </w:rPr>
        <w:t>To review and identify opportunities to drive continuous improvement and innovation in all aspects of technology, systems and processes to ensure the organisation is effective and efficient in all service line offerings.</w:t>
      </w:r>
    </w:p>
    <w:p w14:paraId="6CC29DBC" w14:textId="6D7A8352" w:rsidR="008662AC" w:rsidRPr="008662AC"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 xml:space="preserve">Identify design and implement change programs identified by legal, commercial or continual improvement requirements.   </w:t>
      </w:r>
    </w:p>
    <w:p w14:paraId="66749288" w14:textId="77777777" w:rsidR="008662AC" w:rsidRDefault="008662AC" w:rsidP="008662AC">
      <w:pPr>
        <w:pStyle w:val="NoSpacing"/>
        <w:numPr>
          <w:ilvl w:val="0"/>
          <w:numId w:val="1"/>
        </w:numPr>
        <w:jc w:val="both"/>
        <w:rPr>
          <w:rFonts w:ascii="Calibri" w:hAnsi="Calibri" w:cs="Calibri"/>
          <w:color w:val="000000" w:themeColor="text1"/>
        </w:rPr>
      </w:pPr>
      <w:r w:rsidRPr="00490BF0">
        <w:rPr>
          <w:rFonts w:ascii="Calibri" w:hAnsi="Calibri" w:cs="Calibri"/>
          <w:color w:val="000000" w:themeColor="text1"/>
        </w:rPr>
        <w:t xml:space="preserve">Maintain professional competence to Tech IOSH and PIEMA. </w:t>
      </w:r>
    </w:p>
    <w:p w14:paraId="21265954" w14:textId="77777777" w:rsidR="008662AC" w:rsidRPr="00490BF0" w:rsidRDefault="008662AC" w:rsidP="008662AC">
      <w:pPr>
        <w:pStyle w:val="NoSpacing"/>
        <w:ind w:left="720"/>
        <w:jc w:val="both"/>
        <w:rPr>
          <w:rFonts w:ascii="Calibri" w:hAnsi="Calibri" w:cs="Calibri"/>
          <w:color w:val="000000" w:themeColor="text1"/>
        </w:rPr>
      </w:pPr>
    </w:p>
    <w:p w14:paraId="573DB0E6" w14:textId="77777777" w:rsidR="008662AC" w:rsidRPr="00490BF0" w:rsidRDefault="008662AC" w:rsidP="008662AC">
      <w:pPr>
        <w:pStyle w:val="NoSpacing"/>
        <w:jc w:val="both"/>
        <w:rPr>
          <w:rFonts w:ascii="Calibri" w:hAnsi="Calibri" w:cs="Calibri"/>
          <w:color w:val="000000" w:themeColor="text1"/>
        </w:rPr>
      </w:pPr>
    </w:p>
    <w:p w14:paraId="74B84909" w14:textId="0B1844B1" w:rsidR="008662AC" w:rsidRDefault="00DB3AC5" w:rsidP="008662AC">
      <w:pPr>
        <w:pStyle w:val="NoSpacing"/>
        <w:jc w:val="both"/>
        <w:rPr>
          <w:rFonts w:ascii="Calibri" w:hAnsi="Calibri" w:cs="Calibri"/>
          <w:b/>
          <w:color w:val="000000" w:themeColor="text1"/>
          <w:u w:val="single"/>
        </w:rPr>
      </w:pPr>
      <w:r>
        <w:rPr>
          <w:rFonts w:ascii="Calibri" w:hAnsi="Calibri" w:cs="Calibri"/>
          <w:b/>
          <w:color w:val="000000" w:themeColor="text1"/>
          <w:u w:val="single"/>
        </w:rPr>
        <w:t xml:space="preserve">Essential </w:t>
      </w:r>
      <w:r w:rsidRPr="00490BF0">
        <w:rPr>
          <w:rFonts w:ascii="Calibri" w:hAnsi="Calibri" w:cs="Calibri"/>
          <w:b/>
          <w:color w:val="000000" w:themeColor="text1"/>
          <w:u w:val="single"/>
        </w:rPr>
        <w:t>Requirements</w:t>
      </w:r>
      <w:r w:rsidR="008662AC" w:rsidRPr="00490BF0">
        <w:rPr>
          <w:rFonts w:ascii="Calibri" w:hAnsi="Calibri" w:cs="Calibri"/>
          <w:b/>
          <w:color w:val="000000" w:themeColor="text1"/>
          <w:u w:val="single"/>
        </w:rPr>
        <w:t>:</w:t>
      </w:r>
    </w:p>
    <w:p w14:paraId="5CD6C42C" w14:textId="77777777" w:rsidR="008662AC" w:rsidRPr="00490BF0" w:rsidRDefault="008662AC" w:rsidP="008662AC">
      <w:pPr>
        <w:pStyle w:val="NoSpacing"/>
        <w:jc w:val="both"/>
        <w:rPr>
          <w:rFonts w:ascii="Calibri" w:hAnsi="Calibri" w:cs="Calibri"/>
          <w:b/>
          <w:color w:val="000000" w:themeColor="text1"/>
          <w:u w:val="single"/>
        </w:rPr>
      </w:pPr>
    </w:p>
    <w:p w14:paraId="3630A706" w14:textId="77777777" w:rsidR="008662AC" w:rsidRDefault="008662AC" w:rsidP="008662AC">
      <w:pPr>
        <w:pStyle w:val="NoSpacing"/>
        <w:numPr>
          <w:ilvl w:val="0"/>
          <w:numId w:val="2"/>
        </w:numPr>
        <w:jc w:val="both"/>
        <w:rPr>
          <w:rFonts w:ascii="Calibri" w:hAnsi="Calibri" w:cs="Calibri"/>
          <w:color w:val="000000" w:themeColor="text1"/>
        </w:rPr>
      </w:pPr>
      <w:r>
        <w:rPr>
          <w:rFonts w:ascii="Calibri" w:hAnsi="Calibri" w:cs="Calibri"/>
          <w:color w:val="000000" w:themeColor="text1"/>
        </w:rPr>
        <w:t>IOSH</w:t>
      </w:r>
      <w:r w:rsidRPr="00490BF0">
        <w:rPr>
          <w:rFonts w:ascii="Calibri" w:hAnsi="Calibri" w:cs="Calibri"/>
          <w:color w:val="000000" w:themeColor="text1"/>
        </w:rPr>
        <w:t xml:space="preserve"> </w:t>
      </w:r>
      <w:r>
        <w:rPr>
          <w:rFonts w:ascii="Calibri" w:hAnsi="Calibri" w:cs="Calibri"/>
          <w:color w:val="000000" w:themeColor="text1"/>
        </w:rPr>
        <w:t>Managing Safely.</w:t>
      </w:r>
    </w:p>
    <w:p w14:paraId="03845F42" w14:textId="77777777" w:rsidR="008662AC" w:rsidRPr="00856B7A" w:rsidRDefault="008662AC" w:rsidP="008662AC">
      <w:pPr>
        <w:numPr>
          <w:ilvl w:val="0"/>
          <w:numId w:val="2"/>
        </w:numPr>
        <w:spacing w:after="160" w:line="259" w:lineRule="auto"/>
      </w:pPr>
      <w:r w:rsidRPr="0033459C">
        <w:t>Relevant electrical qualification (e.g. NVQ Level 3, City &amp; Guilds, or equivalent)</w:t>
      </w:r>
      <w:r>
        <w:t xml:space="preserve"> with a minimum of 5 years electrical management experience.</w:t>
      </w:r>
    </w:p>
    <w:p w14:paraId="084724CC" w14:textId="77777777" w:rsidR="008662AC" w:rsidRPr="0033459C" w:rsidRDefault="008662AC" w:rsidP="008662AC">
      <w:pPr>
        <w:numPr>
          <w:ilvl w:val="0"/>
          <w:numId w:val="2"/>
        </w:numPr>
        <w:spacing w:after="160" w:line="259" w:lineRule="auto"/>
      </w:pPr>
      <w:r w:rsidRPr="0033459C">
        <w:t>Strong working knowledge of UK electrical safety legislation and standards</w:t>
      </w:r>
    </w:p>
    <w:p w14:paraId="2C5B53F8" w14:textId="77777777" w:rsidR="008662AC" w:rsidRDefault="008662AC" w:rsidP="008662AC">
      <w:pPr>
        <w:numPr>
          <w:ilvl w:val="0"/>
          <w:numId w:val="2"/>
        </w:numPr>
        <w:spacing w:after="160" w:line="259" w:lineRule="auto"/>
      </w:pPr>
      <w:r w:rsidRPr="0033459C">
        <w:t>Experience acting as an Electrical Authorised Person or Duty Holder</w:t>
      </w:r>
    </w:p>
    <w:p w14:paraId="34EF0A72" w14:textId="2CB8FFD4" w:rsidR="008662AC" w:rsidRPr="00821636" w:rsidRDefault="008662AC" w:rsidP="008662AC">
      <w:pPr>
        <w:pStyle w:val="ListParagraph"/>
        <w:numPr>
          <w:ilvl w:val="0"/>
          <w:numId w:val="2"/>
        </w:numPr>
      </w:pPr>
      <w:r w:rsidRPr="00821636">
        <w:t>A concise communication style, and a robust and effective approach</w:t>
      </w:r>
    </w:p>
    <w:p w14:paraId="7BCAFA3E" w14:textId="77777777" w:rsidR="008662AC" w:rsidRPr="00856B7A" w:rsidRDefault="008662AC" w:rsidP="008662AC">
      <w:pPr>
        <w:spacing w:after="160" w:line="259" w:lineRule="auto"/>
        <w:ind w:left="720"/>
      </w:pPr>
    </w:p>
    <w:p w14:paraId="46B10ADD" w14:textId="77777777" w:rsidR="008662AC" w:rsidRPr="00490BF0" w:rsidRDefault="008662AC" w:rsidP="008662AC">
      <w:pPr>
        <w:pStyle w:val="NoSpacing"/>
        <w:jc w:val="both"/>
        <w:rPr>
          <w:rFonts w:ascii="Calibri" w:hAnsi="Calibri" w:cs="Calibri"/>
          <w:color w:val="000000" w:themeColor="text1"/>
        </w:rPr>
      </w:pPr>
    </w:p>
    <w:p w14:paraId="10FA9BDA" w14:textId="77777777" w:rsidR="008662AC" w:rsidRDefault="008662AC" w:rsidP="008662AC">
      <w:pPr>
        <w:pStyle w:val="NoSpacing"/>
        <w:jc w:val="both"/>
        <w:rPr>
          <w:b/>
          <w:u w:val="single"/>
        </w:rPr>
      </w:pPr>
      <w:r w:rsidRPr="00FC10E7">
        <w:rPr>
          <w:b/>
          <w:u w:val="single"/>
        </w:rPr>
        <w:t xml:space="preserve">Desirable </w:t>
      </w:r>
      <w:proofErr w:type="gramStart"/>
      <w:r w:rsidRPr="00FC10E7">
        <w:rPr>
          <w:b/>
          <w:u w:val="single"/>
        </w:rPr>
        <w:t>attributes;</w:t>
      </w:r>
      <w:proofErr w:type="gramEnd"/>
    </w:p>
    <w:p w14:paraId="7939AC52" w14:textId="77777777" w:rsidR="008662AC" w:rsidRPr="00FC10E7" w:rsidRDefault="008662AC" w:rsidP="008662AC">
      <w:pPr>
        <w:pStyle w:val="NoSpacing"/>
        <w:jc w:val="both"/>
        <w:rPr>
          <w:b/>
          <w:u w:val="single"/>
        </w:rPr>
      </w:pPr>
    </w:p>
    <w:p w14:paraId="3494B37C" w14:textId="77777777" w:rsidR="008662AC" w:rsidRDefault="008662AC" w:rsidP="008662AC">
      <w:pPr>
        <w:numPr>
          <w:ilvl w:val="0"/>
          <w:numId w:val="2"/>
        </w:numPr>
        <w:spacing w:after="160" w:line="259" w:lineRule="auto"/>
      </w:pPr>
      <w:r w:rsidRPr="0033459C">
        <w:t>NEBOSH General Certificate (or equivalent H&amp;S qualification)</w:t>
      </w:r>
      <w:r>
        <w:t xml:space="preserve"> or willingness to work towards</w:t>
      </w:r>
    </w:p>
    <w:p w14:paraId="47B672E3" w14:textId="77777777" w:rsidR="008662AC" w:rsidRDefault="008662AC" w:rsidP="008662AC">
      <w:pPr>
        <w:numPr>
          <w:ilvl w:val="0"/>
          <w:numId w:val="2"/>
        </w:numPr>
        <w:spacing w:after="160" w:line="259" w:lineRule="auto"/>
      </w:pPr>
      <w:r>
        <w:t>MIET member of the IET or willing to work towards</w:t>
      </w:r>
    </w:p>
    <w:p w14:paraId="3D625C4F" w14:textId="77777777" w:rsidR="008662AC" w:rsidRDefault="008662AC" w:rsidP="008662AC">
      <w:pPr>
        <w:numPr>
          <w:ilvl w:val="0"/>
          <w:numId w:val="2"/>
        </w:numPr>
        <w:spacing w:after="160" w:line="259" w:lineRule="auto"/>
      </w:pPr>
      <w:r>
        <w:t xml:space="preserve">Registered with the engineering council to </w:t>
      </w:r>
      <w:proofErr w:type="spellStart"/>
      <w:r>
        <w:t>EngTech</w:t>
      </w:r>
      <w:proofErr w:type="spellEnd"/>
      <w:r>
        <w:t xml:space="preserve"> or willing to work towards</w:t>
      </w:r>
    </w:p>
    <w:p w14:paraId="017C277B" w14:textId="77777777" w:rsidR="008662AC" w:rsidRDefault="008662AC" w:rsidP="008662AC">
      <w:pPr>
        <w:numPr>
          <w:ilvl w:val="0"/>
          <w:numId w:val="2"/>
        </w:numPr>
        <w:spacing w:after="160" w:line="259" w:lineRule="auto"/>
      </w:pPr>
      <w:proofErr w:type="spellStart"/>
      <w:r>
        <w:lastRenderedPageBreak/>
        <w:t>TechIOSH</w:t>
      </w:r>
      <w:proofErr w:type="spellEnd"/>
      <w:r>
        <w:t xml:space="preserve"> member of IOSH or willing to work towards</w:t>
      </w:r>
    </w:p>
    <w:p w14:paraId="130358ED" w14:textId="77777777" w:rsidR="008662AC" w:rsidRDefault="008662AC" w:rsidP="008662AC">
      <w:pPr>
        <w:numPr>
          <w:ilvl w:val="0"/>
          <w:numId w:val="2"/>
        </w:numPr>
        <w:spacing w:after="160" w:line="259" w:lineRule="auto"/>
      </w:pPr>
      <w:r>
        <w:t>Member of IEMA or willing to work towards.</w:t>
      </w:r>
    </w:p>
    <w:p w14:paraId="02773B44" w14:textId="77777777" w:rsidR="008662AC" w:rsidRDefault="008662AC" w:rsidP="008662AC">
      <w:pPr>
        <w:numPr>
          <w:ilvl w:val="0"/>
          <w:numId w:val="2"/>
        </w:numPr>
        <w:spacing w:after="160" w:line="259" w:lineRule="auto"/>
      </w:pPr>
      <w:r>
        <w:t>Lead auditor qualification (ISO 9001).</w:t>
      </w:r>
    </w:p>
    <w:p w14:paraId="33296367" w14:textId="77777777" w:rsidR="008662AC" w:rsidRDefault="008662AC" w:rsidP="008662AC">
      <w:pPr>
        <w:pStyle w:val="NoSpacing"/>
        <w:jc w:val="both"/>
      </w:pPr>
    </w:p>
    <w:p w14:paraId="55D73163" w14:textId="77777777" w:rsidR="008662AC" w:rsidRDefault="008662AC" w:rsidP="008662AC">
      <w:pPr>
        <w:pStyle w:val="NoSpacing"/>
        <w:jc w:val="both"/>
      </w:pPr>
    </w:p>
    <w:p w14:paraId="0971C1BB" w14:textId="77777777" w:rsidR="008662AC" w:rsidRDefault="008662AC" w:rsidP="008662AC">
      <w:pPr>
        <w:spacing w:after="0" w:line="240" w:lineRule="auto"/>
        <w:contextualSpacing/>
        <w:jc w:val="both"/>
        <w:rPr>
          <w:rFonts w:eastAsia="Times New Roman" w:cstheme="minorHAnsi"/>
          <w:b/>
          <w:bCs/>
        </w:rPr>
      </w:pPr>
    </w:p>
    <w:p w14:paraId="6814785C" w14:textId="77777777" w:rsidR="008662AC" w:rsidRDefault="008662AC" w:rsidP="008662AC">
      <w:pPr>
        <w:spacing w:after="0" w:line="240" w:lineRule="auto"/>
        <w:contextualSpacing/>
        <w:jc w:val="both"/>
        <w:rPr>
          <w:rFonts w:eastAsia="Times New Roman" w:cstheme="minorHAnsi"/>
          <w:b/>
          <w:bCs/>
        </w:rPr>
      </w:pPr>
    </w:p>
    <w:p w14:paraId="46FBEFDA" w14:textId="77777777" w:rsidR="008662AC" w:rsidRDefault="008662AC" w:rsidP="008662AC">
      <w:pPr>
        <w:spacing w:after="0" w:line="240" w:lineRule="auto"/>
        <w:contextualSpacing/>
        <w:jc w:val="both"/>
        <w:rPr>
          <w:rFonts w:eastAsia="Times New Roman" w:cstheme="minorHAnsi"/>
          <w:b/>
          <w:bCs/>
        </w:rPr>
      </w:pPr>
    </w:p>
    <w:p w14:paraId="4B0F867D" w14:textId="77777777" w:rsidR="008662AC" w:rsidRDefault="008662AC" w:rsidP="008662AC">
      <w:pPr>
        <w:spacing w:after="0" w:line="240" w:lineRule="auto"/>
        <w:contextualSpacing/>
        <w:jc w:val="both"/>
        <w:rPr>
          <w:rFonts w:eastAsia="Times New Roman" w:cstheme="minorHAnsi"/>
          <w:b/>
          <w:bCs/>
        </w:rPr>
      </w:pPr>
    </w:p>
    <w:p w14:paraId="3B8E7653" w14:textId="4A2D6885" w:rsidR="008662AC" w:rsidRPr="008662AC" w:rsidRDefault="008662AC" w:rsidP="008662AC">
      <w:pPr>
        <w:spacing w:after="0" w:line="240" w:lineRule="auto"/>
        <w:contextualSpacing/>
        <w:jc w:val="both"/>
        <w:rPr>
          <w:rFonts w:eastAsia="Times New Roman" w:cstheme="minorHAnsi"/>
          <w:b/>
          <w:bCs/>
          <w:u w:val="single"/>
        </w:rPr>
      </w:pPr>
      <w:r w:rsidRPr="008662AC">
        <w:rPr>
          <w:rFonts w:eastAsia="Times New Roman" w:cstheme="minorHAnsi"/>
          <w:b/>
          <w:bCs/>
          <w:u w:val="single"/>
        </w:rPr>
        <w:t>Personal Characteristics</w:t>
      </w:r>
    </w:p>
    <w:p w14:paraId="635E17BB" w14:textId="77777777" w:rsidR="008662AC" w:rsidRDefault="008662AC" w:rsidP="008662AC">
      <w:pPr>
        <w:spacing w:after="0" w:line="240" w:lineRule="auto"/>
        <w:contextualSpacing/>
        <w:jc w:val="both"/>
        <w:rPr>
          <w:rFonts w:eastAsia="Times New Roman" w:cstheme="minorHAnsi"/>
        </w:rPr>
      </w:pPr>
    </w:p>
    <w:p w14:paraId="4B62B7D5" w14:textId="77777777" w:rsidR="008662AC" w:rsidRPr="00821636" w:rsidRDefault="008662AC" w:rsidP="008662AC">
      <w:bookmarkStart w:id="5" w:name="_Hlk218578814"/>
      <w:r w:rsidRPr="00821636">
        <w:t>The successful candidate will understand that success will be driven through strong leadership, and achieve this through:</w:t>
      </w:r>
    </w:p>
    <w:p w14:paraId="2533476A" w14:textId="47AD710E" w:rsidR="008662AC" w:rsidRPr="00821636" w:rsidRDefault="008662AC" w:rsidP="008662AC">
      <w:pPr>
        <w:pStyle w:val="ListParagraph"/>
        <w:numPr>
          <w:ilvl w:val="0"/>
          <w:numId w:val="4"/>
        </w:numPr>
      </w:pPr>
      <w:r w:rsidRPr="00821636">
        <w:t xml:space="preserve"> Delivery</w:t>
      </w:r>
    </w:p>
    <w:p w14:paraId="3B477511" w14:textId="303EB534" w:rsidR="008662AC" w:rsidRPr="00821636" w:rsidRDefault="008662AC" w:rsidP="008662AC">
      <w:pPr>
        <w:pStyle w:val="ListParagraph"/>
        <w:numPr>
          <w:ilvl w:val="0"/>
          <w:numId w:val="4"/>
        </w:numPr>
      </w:pPr>
      <w:r w:rsidRPr="00821636">
        <w:t>Being highly visible within the business</w:t>
      </w:r>
    </w:p>
    <w:p w14:paraId="4D34996E" w14:textId="6950CA67" w:rsidR="008662AC" w:rsidRPr="00821636" w:rsidRDefault="008662AC" w:rsidP="008662AC">
      <w:pPr>
        <w:pStyle w:val="ListParagraph"/>
        <w:numPr>
          <w:ilvl w:val="0"/>
          <w:numId w:val="4"/>
        </w:numPr>
      </w:pPr>
      <w:r w:rsidRPr="00821636">
        <w:t>Setting high standards of performance, whilst inspiring others to perform at their best</w:t>
      </w:r>
    </w:p>
    <w:p w14:paraId="75EEF6DC" w14:textId="658C45F5" w:rsidR="008662AC" w:rsidRPr="00821636" w:rsidRDefault="008662AC" w:rsidP="008662AC">
      <w:pPr>
        <w:pStyle w:val="ListParagraph"/>
        <w:numPr>
          <w:ilvl w:val="0"/>
          <w:numId w:val="4"/>
        </w:numPr>
      </w:pPr>
      <w:r w:rsidRPr="00821636">
        <w:t xml:space="preserve">Being approachable and a “champion” of </w:t>
      </w:r>
      <w:r>
        <w:t>HSQE</w:t>
      </w:r>
      <w:r w:rsidRPr="00821636">
        <w:t>.</w:t>
      </w:r>
    </w:p>
    <w:p w14:paraId="6B815752" w14:textId="3777180E" w:rsidR="008662AC" w:rsidRPr="00821636" w:rsidRDefault="008662AC" w:rsidP="008662AC">
      <w:pPr>
        <w:pStyle w:val="ListParagraph"/>
        <w:numPr>
          <w:ilvl w:val="0"/>
          <w:numId w:val="4"/>
        </w:numPr>
      </w:pPr>
      <w:r w:rsidRPr="00821636">
        <w:t xml:space="preserve"> An ability to take the organisation along with </w:t>
      </w:r>
      <w:r>
        <w:t>them</w:t>
      </w:r>
      <w:r w:rsidRPr="00821636">
        <w:t>.</w:t>
      </w:r>
    </w:p>
    <w:p w14:paraId="5BFFD94D" w14:textId="73E87BD2" w:rsidR="008662AC" w:rsidRPr="00821636" w:rsidRDefault="008662AC" w:rsidP="008662AC">
      <w:pPr>
        <w:pStyle w:val="ListParagraph"/>
        <w:numPr>
          <w:ilvl w:val="0"/>
          <w:numId w:val="4"/>
        </w:numPr>
      </w:pPr>
      <w:r w:rsidRPr="00821636">
        <w:t xml:space="preserve">Able to connect with all </w:t>
      </w:r>
      <w:r>
        <w:t>colleagues</w:t>
      </w:r>
      <w:r w:rsidRPr="00821636">
        <w:t>/customers</w:t>
      </w:r>
    </w:p>
    <w:p w14:paraId="01404A33" w14:textId="5572F3B8" w:rsidR="008662AC" w:rsidRPr="00821636" w:rsidRDefault="008662AC" w:rsidP="008662AC">
      <w:pPr>
        <w:pStyle w:val="ListParagraph"/>
        <w:numPr>
          <w:ilvl w:val="0"/>
          <w:numId w:val="4"/>
        </w:numPr>
      </w:pPr>
      <w:r w:rsidRPr="00821636">
        <w:t>A strong grasp of detail, the ability to articulate this detail effectively, and the willingness to go the extra mile to build an effective business case supported by data.</w:t>
      </w:r>
    </w:p>
    <w:bookmarkEnd w:id="5"/>
    <w:p w14:paraId="4EDACC74" w14:textId="77777777" w:rsidR="008662AC" w:rsidRPr="00325EED" w:rsidRDefault="008662AC" w:rsidP="008662AC">
      <w:pPr>
        <w:spacing w:after="0" w:line="240" w:lineRule="auto"/>
        <w:contextualSpacing/>
        <w:jc w:val="both"/>
        <w:rPr>
          <w:rFonts w:eastAsia="Times New Roman" w:cstheme="minorHAnsi"/>
        </w:rPr>
      </w:pPr>
    </w:p>
    <w:p w14:paraId="2358BD56" w14:textId="0D15CC9B" w:rsidR="008662AC" w:rsidRPr="00821636" w:rsidRDefault="008662AC" w:rsidP="008662AC">
      <w:r>
        <w:t xml:space="preserve"> </w:t>
      </w:r>
    </w:p>
    <w:p w14:paraId="1E6448A3" w14:textId="77777777" w:rsidR="008662AC" w:rsidRDefault="008662AC" w:rsidP="008662AC">
      <w:pPr>
        <w:pStyle w:val="NoSpacing"/>
        <w:jc w:val="both"/>
      </w:pPr>
    </w:p>
    <w:p w14:paraId="301A105C" w14:textId="77777777" w:rsidR="00B176F6" w:rsidRDefault="00B176F6"/>
    <w:sectPr w:rsidR="00B176F6" w:rsidSect="008662AC">
      <w:footerReference w:type="default" r:id="rId8"/>
      <w:pgSz w:w="11906" w:h="16838"/>
      <w:pgMar w:top="567"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7F8E" w14:textId="77777777" w:rsidR="00882E8B" w:rsidRDefault="00882E8B" w:rsidP="003F57A9">
      <w:pPr>
        <w:spacing w:after="0" w:line="240" w:lineRule="auto"/>
      </w:pPr>
      <w:r>
        <w:separator/>
      </w:r>
    </w:p>
  </w:endnote>
  <w:endnote w:type="continuationSeparator" w:id="0">
    <w:p w14:paraId="7D9DF513" w14:textId="77777777" w:rsidR="00882E8B" w:rsidRDefault="00882E8B" w:rsidP="003F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 Nova">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C045" w14:textId="3A6C9B32" w:rsidR="003F57A9" w:rsidRDefault="003F57A9">
    <w:pPr>
      <w:pStyle w:val="Footer"/>
    </w:pPr>
    <w:r>
      <w:t>January 2026</w:t>
    </w:r>
  </w:p>
  <w:p w14:paraId="18A873F1" w14:textId="77777777" w:rsidR="003F57A9" w:rsidRDefault="003F5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F25F" w14:textId="77777777" w:rsidR="00882E8B" w:rsidRDefault="00882E8B" w:rsidP="003F57A9">
      <w:pPr>
        <w:spacing w:after="0" w:line="240" w:lineRule="auto"/>
      </w:pPr>
      <w:r>
        <w:separator/>
      </w:r>
    </w:p>
  </w:footnote>
  <w:footnote w:type="continuationSeparator" w:id="0">
    <w:p w14:paraId="2B3FC161" w14:textId="77777777" w:rsidR="00882E8B" w:rsidRDefault="00882E8B" w:rsidP="003F5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0132"/>
    <w:multiLevelType w:val="hybridMultilevel"/>
    <w:tmpl w:val="1C7629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42E89"/>
    <w:multiLevelType w:val="hybridMultilevel"/>
    <w:tmpl w:val="F7E0CD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943BB"/>
    <w:multiLevelType w:val="hybridMultilevel"/>
    <w:tmpl w:val="9AA64D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5826E1"/>
    <w:multiLevelType w:val="multilevel"/>
    <w:tmpl w:val="8772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274373">
    <w:abstractNumId w:val="1"/>
  </w:num>
  <w:num w:numId="2" w16cid:durableId="645745752">
    <w:abstractNumId w:val="0"/>
  </w:num>
  <w:num w:numId="3" w16cid:durableId="322392150">
    <w:abstractNumId w:val="3"/>
  </w:num>
  <w:num w:numId="4" w16cid:durableId="1026832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AC"/>
    <w:rsid w:val="00153FDC"/>
    <w:rsid w:val="001A6FE7"/>
    <w:rsid w:val="003F57A9"/>
    <w:rsid w:val="0061655B"/>
    <w:rsid w:val="00722AD4"/>
    <w:rsid w:val="008662AC"/>
    <w:rsid w:val="00882E8B"/>
    <w:rsid w:val="008B0283"/>
    <w:rsid w:val="008D0342"/>
    <w:rsid w:val="00AB6CCA"/>
    <w:rsid w:val="00B176F6"/>
    <w:rsid w:val="00DB3AC5"/>
    <w:rsid w:val="00DF5193"/>
    <w:rsid w:val="00FD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A08D"/>
  <w15:chartTrackingRefBased/>
  <w15:docId w15:val="{28A772D2-D646-4268-9450-0FED00E2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AC"/>
    <w:pPr>
      <w:spacing w:after="200" w:line="276" w:lineRule="auto"/>
    </w:pPr>
    <w:rPr>
      <w:kern w:val="0"/>
      <w14:ligatures w14:val="none"/>
    </w:rPr>
  </w:style>
  <w:style w:type="paragraph" w:styleId="Heading1">
    <w:name w:val="heading 1"/>
    <w:basedOn w:val="Normal"/>
    <w:next w:val="Normal"/>
    <w:link w:val="Heading1Char"/>
    <w:uiPriority w:val="9"/>
    <w:qFormat/>
    <w:rsid w:val="00866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2AC"/>
    <w:rPr>
      <w:rFonts w:eastAsiaTheme="majorEastAsia" w:cstheme="majorBidi"/>
      <w:color w:val="272727" w:themeColor="text1" w:themeTint="D8"/>
    </w:rPr>
  </w:style>
  <w:style w:type="paragraph" w:styleId="Title">
    <w:name w:val="Title"/>
    <w:basedOn w:val="Normal"/>
    <w:next w:val="Normal"/>
    <w:link w:val="TitleChar"/>
    <w:uiPriority w:val="10"/>
    <w:qFormat/>
    <w:rsid w:val="00866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2AC"/>
    <w:pPr>
      <w:spacing w:before="160"/>
      <w:jc w:val="center"/>
    </w:pPr>
    <w:rPr>
      <w:i/>
      <w:iCs/>
      <w:color w:val="404040" w:themeColor="text1" w:themeTint="BF"/>
    </w:rPr>
  </w:style>
  <w:style w:type="character" w:customStyle="1" w:styleId="QuoteChar">
    <w:name w:val="Quote Char"/>
    <w:basedOn w:val="DefaultParagraphFont"/>
    <w:link w:val="Quote"/>
    <w:uiPriority w:val="29"/>
    <w:rsid w:val="008662AC"/>
    <w:rPr>
      <w:i/>
      <w:iCs/>
      <w:color w:val="404040" w:themeColor="text1" w:themeTint="BF"/>
    </w:rPr>
  </w:style>
  <w:style w:type="paragraph" w:styleId="ListParagraph">
    <w:name w:val="List Paragraph"/>
    <w:basedOn w:val="Normal"/>
    <w:uiPriority w:val="99"/>
    <w:qFormat/>
    <w:rsid w:val="008662AC"/>
    <w:pPr>
      <w:ind w:left="720"/>
      <w:contextualSpacing/>
    </w:pPr>
  </w:style>
  <w:style w:type="character" w:styleId="IntenseEmphasis">
    <w:name w:val="Intense Emphasis"/>
    <w:basedOn w:val="DefaultParagraphFont"/>
    <w:uiPriority w:val="21"/>
    <w:qFormat/>
    <w:rsid w:val="008662AC"/>
    <w:rPr>
      <w:i/>
      <w:iCs/>
      <w:color w:val="0F4761" w:themeColor="accent1" w:themeShade="BF"/>
    </w:rPr>
  </w:style>
  <w:style w:type="paragraph" w:styleId="IntenseQuote">
    <w:name w:val="Intense Quote"/>
    <w:basedOn w:val="Normal"/>
    <w:next w:val="Normal"/>
    <w:link w:val="IntenseQuoteChar"/>
    <w:uiPriority w:val="30"/>
    <w:qFormat/>
    <w:rsid w:val="00866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2AC"/>
    <w:rPr>
      <w:i/>
      <w:iCs/>
      <w:color w:val="0F4761" w:themeColor="accent1" w:themeShade="BF"/>
    </w:rPr>
  </w:style>
  <w:style w:type="character" w:styleId="IntenseReference">
    <w:name w:val="Intense Reference"/>
    <w:basedOn w:val="DefaultParagraphFont"/>
    <w:uiPriority w:val="32"/>
    <w:qFormat/>
    <w:rsid w:val="008662AC"/>
    <w:rPr>
      <w:b/>
      <w:bCs/>
      <w:smallCaps/>
      <w:color w:val="0F4761" w:themeColor="accent1" w:themeShade="BF"/>
      <w:spacing w:val="5"/>
    </w:rPr>
  </w:style>
  <w:style w:type="paragraph" w:styleId="NoSpacing">
    <w:name w:val="No Spacing"/>
    <w:uiPriority w:val="1"/>
    <w:qFormat/>
    <w:rsid w:val="008662AC"/>
    <w:pPr>
      <w:spacing w:after="0" w:line="240" w:lineRule="auto"/>
    </w:pPr>
    <w:rPr>
      <w:kern w:val="0"/>
      <w14:ligatures w14:val="none"/>
    </w:rPr>
  </w:style>
  <w:style w:type="paragraph" w:customStyle="1" w:styleId="Default">
    <w:name w:val="Default"/>
    <w:rsid w:val="008662AC"/>
    <w:pPr>
      <w:autoSpaceDE w:val="0"/>
      <w:autoSpaceDN w:val="0"/>
      <w:adjustRightInd w:val="0"/>
      <w:spacing w:after="0" w:line="240" w:lineRule="auto"/>
    </w:pPr>
    <w:rPr>
      <w:rFonts w:ascii="Proxima Nova" w:hAnsi="Proxima Nova" w:cs="Proxima Nova"/>
      <w:color w:val="000000"/>
      <w:kern w:val="0"/>
      <w:sz w:val="24"/>
      <w:szCs w:val="24"/>
      <w14:ligatures w14:val="none"/>
    </w:rPr>
  </w:style>
  <w:style w:type="character" w:styleId="CommentReference">
    <w:name w:val="annotation reference"/>
    <w:basedOn w:val="DefaultParagraphFont"/>
    <w:uiPriority w:val="99"/>
    <w:semiHidden/>
    <w:unhideWhenUsed/>
    <w:rsid w:val="008662AC"/>
    <w:rPr>
      <w:sz w:val="16"/>
      <w:szCs w:val="16"/>
    </w:rPr>
  </w:style>
  <w:style w:type="paragraph" w:styleId="CommentText">
    <w:name w:val="annotation text"/>
    <w:basedOn w:val="Normal"/>
    <w:link w:val="CommentTextChar"/>
    <w:uiPriority w:val="99"/>
    <w:unhideWhenUsed/>
    <w:rsid w:val="008662AC"/>
    <w:pPr>
      <w:spacing w:line="240" w:lineRule="auto"/>
    </w:pPr>
    <w:rPr>
      <w:sz w:val="20"/>
      <w:szCs w:val="20"/>
    </w:rPr>
  </w:style>
  <w:style w:type="character" w:customStyle="1" w:styleId="CommentTextChar">
    <w:name w:val="Comment Text Char"/>
    <w:basedOn w:val="DefaultParagraphFont"/>
    <w:link w:val="CommentText"/>
    <w:uiPriority w:val="99"/>
    <w:rsid w:val="008662AC"/>
    <w:rPr>
      <w:kern w:val="0"/>
      <w:sz w:val="20"/>
      <w:szCs w:val="20"/>
      <w14:ligatures w14:val="none"/>
    </w:rPr>
  </w:style>
  <w:style w:type="paragraph" w:styleId="Header">
    <w:name w:val="header"/>
    <w:basedOn w:val="Normal"/>
    <w:link w:val="HeaderChar"/>
    <w:uiPriority w:val="99"/>
    <w:unhideWhenUsed/>
    <w:rsid w:val="003F5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7A9"/>
    <w:rPr>
      <w:kern w:val="0"/>
      <w14:ligatures w14:val="none"/>
    </w:rPr>
  </w:style>
  <w:style w:type="paragraph" w:styleId="Footer">
    <w:name w:val="footer"/>
    <w:basedOn w:val="Normal"/>
    <w:link w:val="FooterChar"/>
    <w:uiPriority w:val="99"/>
    <w:unhideWhenUsed/>
    <w:rsid w:val="003F5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7A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901</Words>
  <Characters>5355</Characters>
  <Application>Microsoft Office Word</Application>
  <DocSecurity>0</DocSecurity>
  <Lines>130</Lines>
  <Paragraphs>63</Paragraphs>
  <ScaleCrop>false</ScaleCrop>
  <HeadingPairs>
    <vt:vector size="2" baseType="variant">
      <vt:variant>
        <vt:lpstr>Title</vt:lpstr>
      </vt:variant>
      <vt:variant>
        <vt:i4>1</vt:i4>
      </vt:variant>
    </vt:vector>
  </HeadingPairs>
  <TitlesOfParts>
    <vt:vector size="1" baseType="lpstr">
      <vt:lpstr/>
    </vt:vector>
  </TitlesOfParts>
  <Company>Personnel Hygiene Services Ltd</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Power</dc:creator>
  <cp:keywords/>
  <dc:description/>
  <cp:lastModifiedBy>Danny Power</cp:lastModifiedBy>
  <cp:revision>4</cp:revision>
  <dcterms:created xsi:type="dcterms:W3CDTF">2026-01-06T08:09:00Z</dcterms:created>
  <dcterms:modified xsi:type="dcterms:W3CDTF">2026-01-06T22:10:00Z</dcterms:modified>
</cp:coreProperties>
</file>